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C50A" w14:textId="2073710F" w:rsidR="00CF0B13" w:rsidRPr="0021662E" w:rsidRDefault="007B4F11" w:rsidP="00F338A8">
      <w:pPr>
        <w:tabs>
          <w:tab w:val="right" w:pos="9360"/>
        </w:tabs>
        <w:spacing w:before="120"/>
        <w:ind w:firstLine="2160"/>
        <w:jc w:val="both"/>
        <w:rPr>
          <w:rFonts w:ascii="Franklin Gothic Heavy" w:hAnsi="Franklin Gothic Heavy" w:cs="Arial"/>
          <w:sz w:val="28"/>
          <w:szCs w:val="28"/>
        </w:rPr>
      </w:pPr>
      <w:r>
        <w:rPr>
          <w:rFonts w:ascii="Franklin Gothic Heavy" w:hAnsi="Franklin Gothic Heavy" w:cs="Arial"/>
          <w:szCs w:val="22"/>
        </w:rPr>
        <w:t>MARCH 26</w:t>
      </w:r>
      <w:r w:rsidR="00EF33F0">
        <w:rPr>
          <w:rFonts w:ascii="Franklin Gothic Heavy" w:hAnsi="Franklin Gothic Heavy" w:cs="Arial"/>
          <w:szCs w:val="22"/>
        </w:rPr>
        <w:t>, 202</w:t>
      </w:r>
      <w:r>
        <w:rPr>
          <w:rFonts w:ascii="Franklin Gothic Heavy" w:hAnsi="Franklin Gothic Heavy" w:cs="Arial"/>
          <w:szCs w:val="22"/>
        </w:rPr>
        <w:t>6</w:t>
      </w:r>
      <w:r w:rsidR="00CF0533" w:rsidRPr="00780639">
        <w:rPr>
          <w:rFonts w:ascii="Franklin Gothic Heavy" w:hAnsi="Franklin Gothic Heavy" w:cs="Arial"/>
          <w:szCs w:val="22"/>
        </w:rPr>
        <w:tab/>
      </w:r>
      <w:r w:rsidR="0065691C" w:rsidRPr="00780639">
        <w:rPr>
          <w:rFonts w:ascii="Franklin Gothic Heavy" w:hAnsi="Franklin Gothic Heavy" w:cs="Arial"/>
          <w:szCs w:val="22"/>
        </w:rPr>
        <w:t>A</w:t>
      </w:r>
      <w:r w:rsidR="0065691C">
        <w:rPr>
          <w:rFonts w:ascii="Franklin Gothic Heavy" w:hAnsi="Franklin Gothic Heavy" w:cs="Arial"/>
          <w:szCs w:val="22"/>
        </w:rPr>
        <w:t xml:space="preserve">GENDA </w:t>
      </w:r>
      <w:r w:rsidR="0065691C" w:rsidRPr="00780639">
        <w:rPr>
          <w:rFonts w:ascii="Franklin Gothic Heavy" w:hAnsi="Franklin Gothic Heavy" w:cs="Arial"/>
          <w:szCs w:val="22"/>
        </w:rPr>
        <w:t>I</w:t>
      </w:r>
      <w:r w:rsidR="0065691C">
        <w:rPr>
          <w:rFonts w:ascii="Franklin Gothic Heavy" w:hAnsi="Franklin Gothic Heavy" w:cs="Arial"/>
          <w:szCs w:val="22"/>
        </w:rPr>
        <w:t>TEM</w:t>
      </w:r>
      <w:r w:rsidR="0065691C" w:rsidRPr="00780639">
        <w:rPr>
          <w:rFonts w:ascii="Franklin Gothic Heavy" w:hAnsi="Franklin Gothic Heavy" w:cs="Arial"/>
          <w:szCs w:val="22"/>
        </w:rPr>
        <w:t xml:space="preserve"> </w:t>
      </w:r>
      <w:r w:rsidR="00CF0533" w:rsidRPr="00780639">
        <w:rPr>
          <w:rFonts w:ascii="Franklin Gothic Heavy" w:hAnsi="Franklin Gothic Heavy" w:cs="Arial"/>
          <w:szCs w:val="22"/>
        </w:rPr>
        <w:t>#</w:t>
      </w:r>
      <w:r w:rsidR="00CE3405" w:rsidRPr="00780639">
        <w:rPr>
          <w:rFonts w:ascii="Franklin Gothic Heavy" w:hAnsi="Franklin Gothic Heavy" w:cs="Arial"/>
          <w:sz w:val="32"/>
          <w:szCs w:val="28"/>
        </w:rPr>
        <w:t xml:space="preserve"> </w:t>
      </w:r>
      <w:r>
        <w:rPr>
          <w:rFonts w:ascii="Franklin Gothic Heavy" w:hAnsi="Franklin Gothic Heavy" w:cs="Arial"/>
          <w:sz w:val="52"/>
          <w:szCs w:val="48"/>
        </w:rPr>
        <w:t>6</w:t>
      </w:r>
    </w:p>
    <w:p w14:paraId="3017EE72" w14:textId="77777777" w:rsidR="00276EA4" w:rsidRDefault="00276EA4" w:rsidP="00276EA4">
      <w:pPr>
        <w:rPr>
          <w:rFonts w:ascii="Times New Roman" w:hAnsi="Times New Roman"/>
        </w:rPr>
      </w:pPr>
    </w:p>
    <w:p w14:paraId="33803A2F" w14:textId="2A214749" w:rsidR="007B4F11" w:rsidRDefault="00C75924" w:rsidP="00780639">
      <w:pPr>
        <w:tabs>
          <w:tab w:val="left" w:pos="2160"/>
        </w:tabs>
        <w:suppressAutoHyphens/>
        <w:rPr>
          <w:rFonts w:ascii="Franklin Gothic Heavy" w:hAnsi="Franklin Gothic Heavy" w:cs="Arial"/>
          <w:caps/>
          <w:spacing w:val="-3"/>
          <w:szCs w:val="24"/>
        </w:rPr>
      </w:pPr>
      <w:r w:rsidRPr="00C75924">
        <w:rPr>
          <w:rFonts w:ascii="Franklin Gothic Heavy" w:hAnsi="Franklin Gothic Heavy" w:cs="Arial"/>
          <w:caps/>
          <w:spacing w:val="-3"/>
          <w:szCs w:val="24"/>
        </w:rPr>
        <w:t>DISCUSSION ON SMART GROWTH PHASE 3 LEVERAGING STRATEGY AND SB 1 LPP FORMULA FUND ALLOCATION AND DELIVERY OPTIONS</w:t>
      </w:r>
    </w:p>
    <w:p w14:paraId="6291E715" w14:textId="2802251A" w:rsidR="003767EC" w:rsidRPr="00780639" w:rsidRDefault="003767EC" w:rsidP="00780639">
      <w:pPr>
        <w:tabs>
          <w:tab w:val="left" w:pos="2160"/>
        </w:tabs>
        <w:suppressAutoHyphens/>
        <w:spacing w:before="240"/>
        <w:rPr>
          <w:rFonts w:ascii="Arial" w:hAnsi="Arial" w:cs="Arial"/>
          <w:spacing w:val="-3"/>
          <w:szCs w:val="24"/>
        </w:rPr>
      </w:pPr>
      <w:r w:rsidRPr="00780639">
        <w:rPr>
          <w:rFonts w:ascii="Arial" w:hAnsi="Arial" w:cs="Arial"/>
          <w:spacing w:val="-3"/>
          <w:szCs w:val="24"/>
        </w:rPr>
        <w:t>A</w:t>
      </w:r>
      <w:r w:rsidR="0016483B" w:rsidRPr="00780639">
        <w:rPr>
          <w:rFonts w:ascii="Arial" w:hAnsi="Arial" w:cs="Arial"/>
          <w:spacing w:val="-3"/>
          <w:szCs w:val="24"/>
        </w:rPr>
        <w:t>ction</w:t>
      </w:r>
      <w:r w:rsidR="008909AA" w:rsidRPr="00780639">
        <w:rPr>
          <w:rFonts w:ascii="Arial" w:hAnsi="Arial" w:cs="Arial"/>
          <w:spacing w:val="-3"/>
          <w:szCs w:val="24"/>
        </w:rPr>
        <w:t xml:space="preserve"> R</w:t>
      </w:r>
      <w:r w:rsidR="0016483B" w:rsidRPr="00780639">
        <w:rPr>
          <w:rFonts w:ascii="Arial" w:hAnsi="Arial" w:cs="Arial"/>
          <w:spacing w:val="-3"/>
          <w:szCs w:val="24"/>
        </w:rPr>
        <w:t>equested</w:t>
      </w:r>
      <w:r w:rsidRPr="00780639">
        <w:rPr>
          <w:rFonts w:ascii="Arial" w:hAnsi="Arial" w:cs="Arial"/>
          <w:spacing w:val="-3"/>
          <w:szCs w:val="24"/>
        </w:rPr>
        <w:t>:</w:t>
      </w:r>
      <w:r w:rsidR="00780639" w:rsidRPr="00780639">
        <w:rPr>
          <w:rFonts w:ascii="Arial" w:hAnsi="Arial" w:cs="Arial"/>
          <w:spacing w:val="-3"/>
          <w:szCs w:val="24"/>
        </w:rPr>
        <w:t xml:space="preserve"> </w:t>
      </w:r>
      <w:r w:rsidR="00780639" w:rsidRPr="00780639">
        <w:rPr>
          <w:rFonts w:ascii="Arial" w:hAnsi="Arial" w:cs="Arial"/>
          <w:spacing w:val="-3"/>
          <w:szCs w:val="24"/>
        </w:rPr>
        <w:tab/>
      </w:r>
      <w:r w:rsidR="000C3AB5">
        <w:rPr>
          <w:rFonts w:ascii="Arial" w:hAnsi="Arial" w:cs="Arial"/>
          <w:spacing w:val="-3"/>
          <w:szCs w:val="24"/>
        </w:rPr>
        <w:t>Comment</w:t>
      </w:r>
    </w:p>
    <w:p w14:paraId="639828F2" w14:textId="691E92E4" w:rsidR="00D82B19" w:rsidRDefault="00D82B19" w:rsidP="00780639">
      <w:pPr>
        <w:tabs>
          <w:tab w:val="left" w:pos="2160"/>
        </w:tabs>
        <w:suppressAutoHyphens/>
        <w:spacing w:before="120"/>
        <w:rPr>
          <w:rFonts w:ascii="Arial" w:hAnsi="Arial" w:cs="Arial"/>
          <w:spacing w:val="-3"/>
          <w:szCs w:val="24"/>
        </w:rPr>
      </w:pPr>
      <w:r>
        <w:rPr>
          <w:rFonts w:ascii="Arial" w:hAnsi="Arial" w:cs="Arial"/>
          <w:spacing w:val="-3"/>
          <w:szCs w:val="24"/>
        </w:rPr>
        <w:t>Presenter:</w:t>
      </w:r>
      <w:r>
        <w:rPr>
          <w:rFonts w:ascii="Arial" w:hAnsi="Arial" w:cs="Arial"/>
          <w:spacing w:val="-3"/>
          <w:szCs w:val="24"/>
        </w:rPr>
        <w:tab/>
      </w:r>
      <w:r w:rsidR="00002C09">
        <w:rPr>
          <w:rFonts w:ascii="Arial" w:hAnsi="Arial" w:cs="Arial"/>
          <w:spacing w:val="-3"/>
          <w:szCs w:val="24"/>
        </w:rPr>
        <w:t>Kevin M. Bewsey</w:t>
      </w:r>
      <w:r w:rsidR="00002C09" w:rsidRPr="00780639">
        <w:rPr>
          <w:rFonts w:ascii="Arial" w:hAnsi="Arial" w:cs="Arial"/>
          <w:spacing w:val="-3"/>
          <w:szCs w:val="24"/>
        </w:rPr>
        <w:t>, Executive Director</w:t>
      </w:r>
    </w:p>
    <w:p w14:paraId="125AF2B7" w14:textId="049369A0" w:rsidR="00CF0533" w:rsidRPr="00780639" w:rsidRDefault="008909AA" w:rsidP="00780639">
      <w:pPr>
        <w:tabs>
          <w:tab w:val="left" w:pos="2160"/>
        </w:tabs>
        <w:suppressAutoHyphens/>
        <w:spacing w:before="120"/>
        <w:rPr>
          <w:rFonts w:ascii="Arial" w:hAnsi="Arial" w:cs="Arial"/>
          <w:spacing w:val="-3"/>
          <w:szCs w:val="24"/>
        </w:rPr>
      </w:pPr>
      <w:r w:rsidRPr="00780639">
        <w:rPr>
          <w:rFonts w:ascii="Arial" w:hAnsi="Arial" w:cs="Arial"/>
          <w:spacing w:val="-3"/>
          <w:szCs w:val="24"/>
        </w:rPr>
        <w:t>K</w:t>
      </w:r>
      <w:r w:rsidR="0016483B" w:rsidRPr="00780639">
        <w:rPr>
          <w:rFonts w:ascii="Arial" w:hAnsi="Arial" w:cs="Arial"/>
          <w:spacing w:val="-3"/>
          <w:szCs w:val="24"/>
        </w:rPr>
        <w:t>ey</w:t>
      </w:r>
      <w:r w:rsidRPr="00780639">
        <w:rPr>
          <w:rFonts w:ascii="Arial" w:hAnsi="Arial" w:cs="Arial"/>
          <w:spacing w:val="-3"/>
          <w:szCs w:val="24"/>
        </w:rPr>
        <w:t xml:space="preserve"> S</w:t>
      </w:r>
      <w:r w:rsidR="0016483B" w:rsidRPr="00780639">
        <w:rPr>
          <w:rFonts w:ascii="Arial" w:hAnsi="Arial" w:cs="Arial"/>
          <w:spacing w:val="-3"/>
          <w:szCs w:val="24"/>
        </w:rPr>
        <w:t>taff</w:t>
      </w:r>
      <w:r w:rsidR="00CF0533" w:rsidRPr="00780639">
        <w:rPr>
          <w:rFonts w:ascii="Arial" w:hAnsi="Arial" w:cs="Arial"/>
          <w:spacing w:val="-3"/>
          <w:szCs w:val="24"/>
        </w:rPr>
        <w:t>:</w:t>
      </w:r>
      <w:r w:rsidR="00780639" w:rsidRPr="00780639">
        <w:rPr>
          <w:rFonts w:ascii="Arial" w:hAnsi="Arial" w:cs="Arial"/>
          <w:spacing w:val="-3"/>
          <w:szCs w:val="24"/>
        </w:rPr>
        <w:tab/>
      </w:r>
      <w:r w:rsidR="007C2091">
        <w:rPr>
          <w:rFonts w:ascii="Arial" w:hAnsi="Arial" w:cs="Arial"/>
          <w:spacing w:val="-3"/>
          <w:szCs w:val="24"/>
        </w:rPr>
        <w:t>Dustin Purinton, Accounting Manager</w:t>
      </w:r>
    </w:p>
    <w:p w14:paraId="461E010A" w14:textId="77777777" w:rsidR="006E3EB4" w:rsidRPr="00037411" w:rsidRDefault="00F21BFA" w:rsidP="008909AA">
      <w:pPr>
        <w:suppressAutoHyphens/>
        <w:spacing w:before="240" w:after="360"/>
        <w:rPr>
          <w:rFonts w:ascii="Arial" w:hAnsi="Arial" w:cs="Arial"/>
          <w:spacing w:val="-3"/>
          <w:szCs w:val="24"/>
        </w:rPr>
      </w:pPr>
      <w:r w:rsidRPr="00037411">
        <w:rPr>
          <w:rFonts w:ascii="Arial" w:hAnsi="Arial" w:cs="Arial"/>
          <w:spacing w:val="-3"/>
          <w:szCs w:val="24"/>
        </w:rPr>
        <w:t>___________________________________________________________</w:t>
      </w:r>
      <w:r w:rsidR="002C77F4">
        <w:rPr>
          <w:rFonts w:ascii="Arial" w:hAnsi="Arial" w:cs="Arial"/>
          <w:spacing w:val="-3"/>
          <w:szCs w:val="24"/>
        </w:rPr>
        <w:t>_________</w:t>
      </w:r>
      <w:r w:rsidRPr="00037411">
        <w:rPr>
          <w:rFonts w:ascii="Arial" w:hAnsi="Arial" w:cs="Arial"/>
          <w:spacing w:val="-3"/>
          <w:szCs w:val="24"/>
        </w:rPr>
        <w:t>___</w:t>
      </w:r>
    </w:p>
    <w:p w14:paraId="081ABD12" w14:textId="77777777" w:rsidR="00836F09" w:rsidRPr="005715CA" w:rsidRDefault="00836F09" w:rsidP="00836F09">
      <w:pPr>
        <w:suppressAutoHyphens/>
        <w:spacing w:line="276" w:lineRule="auto"/>
        <w:jc w:val="both"/>
        <w:rPr>
          <w:rFonts w:ascii="Arial" w:hAnsi="Arial" w:cs="Arial"/>
          <w:b/>
          <w:spacing w:val="-3"/>
          <w:sz w:val="22"/>
          <w:szCs w:val="22"/>
          <w:u w:val="single"/>
        </w:rPr>
      </w:pPr>
      <w:r w:rsidRPr="005715CA">
        <w:rPr>
          <w:rFonts w:ascii="Arial" w:hAnsi="Arial" w:cs="Arial"/>
          <w:b/>
          <w:spacing w:val="-3"/>
          <w:sz w:val="22"/>
          <w:szCs w:val="22"/>
          <w:u w:val="single"/>
        </w:rPr>
        <w:t>Recommendation</w:t>
      </w:r>
    </w:p>
    <w:p w14:paraId="04D40641" w14:textId="77777777" w:rsidR="00836F09" w:rsidRPr="00ED7E3A" w:rsidRDefault="00836F09" w:rsidP="00836F09">
      <w:pPr>
        <w:suppressAutoHyphens/>
        <w:spacing w:line="276" w:lineRule="auto"/>
        <w:ind w:firstLine="720"/>
        <w:jc w:val="both"/>
        <w:rPr>
          <w:rFonts w:ascii="Arial" w:hAnsi="Arial" w:cs="Arial"/>
          <w:spacing w:val="-3"/>
          <w:sz w:val="22"/>
          <w:szCs w:val="22"/>
        </w:rPr>
      </w:pPr>
    </w:p>
    <w:p w14:paraId="7B60DBD0" w14:textId="5E39894B" w:rsidR="00A11D41" w:rsidRDefault="00456A92" w:rsidP="00A11D41">
      <w:pPr>
        <w:suppressAutoHyphens/>
        <w:spacing w:line="276" w:lineRule="auto"/>
        <w:jc w:val="both"/>
        <w:rPr>
          <w:rFonts w:ascii="Arial" w:hAnsi="Arial" w:cs="Arial"/>
          <w:sz w:val="22"/>
          <w:szCs w:val="22"/>
        </w:rPr>
      </w:pPr>
      <w:r w:rsidRPr="00456A92">
        <w:rPr>
          <w:rFonts w:ascii="Arial" w:hAnsi="Arial" w:cs="Arial"/>
          <w:sz w:val="22"/>
          <w:szCs w:val="22"/>
        </w:rPr>
        <w:t>Staff recommends that the Independent Taxpayer Oversight Committee (ITOC) receive this report, discuss the potential funding strategies outlined below, and provide comments to staff regarding which approach or approaches should be further developed for future consideration.</w:t>
      </w:r>
    </w:p>
    <w:p w14:paraId="0650A0E8" w14:textId="77777777" w:rsidR="00456A92" w:rsidRDefault="00456A92" w:rsidP="00A11D41">
      <w:pPr>
        <w:suppressAutoHyphens/>
        <w:spacing w:line="276" w:lineRule="auto"/>
        <w:jc w:val="both"/>
        <w:rPr>
          <w:rFonts w:ascii="Arial" w:hAnsi="Arial" w:cs="Arial"/>
          <w:spacing w:val="-3"/>
          <w:sz w:val="22"/>
          <w:szCs w:val="22"/>
        </w:rPr>
      </w:pPr>
    </w:p>
    <w:p w14:paraId="63AD49F0" w14:textId="3C48708B" w:rsidR="00A11D41" w:rsidRPr="005715CA" w:rsidRDefault="00A11D41" w:rsidP="00A11D41">
      <w:pPr>
        <w:suppressAutoHyphens/>
        <w:spacing w:line="276" w:lineRule="auto"/>
        <w:jc w:val="both"/>
        <w:rPr>
          <w:rFonts w:ascii="Arial" w:hAnsi="Arial" w:cs="Arial"/>
          <w:b/>
          <w:spacing w:val="-3"/>
          <w:sz w:val="22"/>
          <w:szCs w:val="22"/>
          <w:u w:val="single"/>
        </w:rPr>
      </w:pPr>
      <w:r>
        <w:rPr>
          <w:rFonts w:ascii="Arial" w:hAnsi="Arial" w:cs="Arial"/>
          <w:b/>
          <w:spacing w:val="-3"/>
          <w:sz w:val="22"/>
          <w:szCs w:val="22"/>
          <w:u w:val="single"/>
        </w:rPr>
        <w:t>Background</w:t>
      </w:r>
    </w:p>
    <w:p w14:paraId="09FA6FF5" w14:textId="77777777" w:rsidR="00A11D41" w:rsidRDefault="00A11D41" w:rsidP="00A11D41">
      <w:pPr>
        <w:suppressAutoHyphens/>
        <w:spacing w:line="276" w:lineRule="auto"/>
        <w:jc w:val="both"/>
        <w:rPr>
          <w:rFonts w:ascii="Arial" w:hAnsi="Arial" w:cs="Arial"/>
          <w:spacing w:val="-3"/>
          <w:sz w:val="22"/>
          <w:szCs w:val="22"/>
        </w:rPr>
      </w:pPr>
    </w:p>
    <w:p w14:paraId="60E1A546" w14:textId="77777777" w:rsidR="009F14BD" w:rsidRDefault="009F14BD" w:rsidP="009F14BD">
      <w:pPr>
        <w:suppressAutoHyphens/>
        <w:spacing w:line="276" w:lineRule="auto"/>
        <w:jc w:val="both"/>
        <w:rPr>
          <w:rFonts w:ascii="Arial" w:hAnsi="Arial" w:cs="Arial"/>
          <w:spacing w:val="-3"/>
          <w:sz w:val="22"/>
          <w:szCs w:val="22"/>
        </w:rPr>
      </w:pPr>
      <w:r w:rsidRPr="009F14BD">
        <w:rPr>
          <w:rFonts w:ascii="Arial" w:hAnsi="Arial" w:cs="Arial"/>
          <w:spacing w:val="-3"/>
          <w:sz w:val="22"/>
          <w:szCs w:val="22"/>
        </w:rPr>
        <w:t>The Sacramento Transportation Authority (STA) has approximately $4.7 million in Measure A Smart Growth funding available through the Smart Growth Incentive Program (SGIP) and the Smart Growth Arterials and Corridors Program (SGACP) in fiscal years 2026-27, 2027-28, 2028-29, and 2029-30.</w:t>
      </w:r>
    </w:p>
    <w:p w14:paraId="14C903F5" w14:textId="77777777" w:rsidR="00536983" w:rsidRDefault="00536983" w:rsidP="009F14BD">
      <w:pPr>
        <w:suppressAutoHyphens/>
        <w:spacing w:line="276" w:lineRule="auto"/>
        <w:jc w:val="both"/>
        <w:rPr>
          <w:rFonts w:ascii="Arial" w:hAnsi="Arial" w:cs="Arial"/>
          <w:spacing w:val="-3"/>
          <w:sz w:val="22"/>
          <w:szCs w:val="22"/>
        </w:rPr>
      </w:pPr>
    </w:p>
    <w:p w14:paraId="469F9B1A" w14:textId="2A399F9C" w:rsidR="002444CE" w:rsidRDefault="00455A08" w:rsidP="00C6438A">
      <w:pPr>
        <w:suppressAutoHyphens/>
        <w:spacing w:line="276" w:lineRule="auto"/>
        <w:jc w:val="both"/>
        <w:rPr>
          <w:rFonts w:ascii="Arial" w:hAnsi="Arial" w:cs="Arial"/>
          <w:spacing w:val="-3"/>
          <w:sz w:val="22"/>
          <w:szCs w:val="22"/>
        </w:rPr>
      </w:pPr>
      <w:r w:rsidRPr="00455A08">
        <w:rPr>
          <w:rFonts w:ascii="Arial" w:hAnsi="Arial" w:cs="Arial"/>
          <w:spacing w:val="-3"/>
          <w:sz w:val="22"/>
          <w:szCs w:val="22"/>
        </w:rPr>
        <w:t>Under the Measure A Expenditure Plan, SGIP funds are to be made available to local jurisdictions on a competitive basis, administered by STA, for projects that advance Smart Growth objectives. In prior years, these funds were often used as local match for local jurisdictions pursuing funding through SACOG’s Community Design Program. However, SACOG has discontinued that program. As a result, STA now needs to consider an updated strategy for use of available Smart Growth funds. The SGACP, which is part of the Local Arterial Program, is intended to fund local arterials and corridors within existing communities that support Smart Growth principles. Accordingly, the STA Governing Board will need to consider a strategy for use of these funds that best enhances local jurisdictions’ ability to secure state and federal transportation funding.</w:t>
      </w:r>
    </w:p>
    <w:p w14:paraId="32BA2A05" w14:textId="77777777" w:rsidR="00455A08" w:rsidRDefault="00455A08" w:rsidP="00C6438A">
      <w:pPr>
        <w:suppressAutoHyphens/>
        <w:spacing w:line="276" w:lineRule="auto"/>
        <w:jc w:val="both"/>
        <w:rPr>
          <w:rFonts w:ascii="Arial" w:hAnsi="Arial" w:cs="Arial"/>
          <w:spacing w:val="-3"/>
          <w:sz w:val="22"/>
          <w:szCs w:val="22"/>
        </w:rPr>
      </w:pPr>
    </w:p>
    <w:p w14:paraId="266FCDB1" w14:textId="566763DA" w:rsidR="002C2FCC" w:rsidRDefault="00455A08" w:rsidP="009F14BD">
      <w:pPr>
        <w:suppressAutoHyphens/>
        <w:spacing w:line="276" w:lineRule="auto"/>
        <w:jc w:val="both"/>
        <w:rPr>
          <w:rFonts w:ascii="Arial" w:hAnsi="Arial" w:cs="Arial"/>
          <w:spacing w:val="-3"/>
          <w:sz w:val="22"/>
          <w:szCs w:val="22"/>
        </w:rPr>
      </w:pPr>
      <w:r w:rsidRPr="00455A08">
        <w:rPr>
          <w:rFonts w:ascii="Arial" w:hAnsi="Arial" w:cs="Arial"/>
          <w:spacing w:val="-3"/>
          <w:sz w:val="22"/>
          <w:szCs w:val="22"/>
        </w:rPr>
        <w:t xml:space="preserve">In addition, STA anticipates having approximately $6.8 million in SB 1 Local Partnership Program (LPP) Formula Funds available in fiscal years 2027-28 and 2028-29. Historically, STA has suballocated these funds using the Measure A formula of 75 percent population and 25 percent lane miles, with an off-the-top set-aside to </w:t>
      </w:r>
      <w:proofErr w:type="spellStart"/>
      <w:r w:rsidRPr="00455A08">
        <w:rPr>
          <w:rFonts w:ascii="Arial" w:hAnsi="Arial" w:cs="Arial"/>
          <w:spacing w:val="-3"/>
          <w:sz w:val="22"/>
          <w:szCs w:val="22"/>
        </w:rPr>
        <w:t>SacRT</w:t>
      </w:r>
      <w:proofErr w:type="spellEnd"/>
      <w:r w:rsidRPr="00455A08">
        <w:rPr>
          <w:rFonts w:ascii="Arial" w:hAnsi="Arial" w:cs="Arial"/>
          <w:spacing w:val="-3"/>
          <w:sz w:val="22"/>
          <w:szCs w:val="22"/>
        </w:rPr>
        <w:t xml:space="preserve"> of 22.5 percent. While this approach has provided a formula-based distribution method, it has also resulted in relatively small funding amounts for some smaller jurisdictions, particularly those with limited staff resources or limited experience administering this funding source. In some cases, that has made timely programming and delivery more difficult and has created challenges for STA in meeting timely-use requirements.</w:t>
      </w:r>
    </w:p>
    <w:p w14:paraId="2202A33B" w14:textId="77777777" w:rsidR="009F14BD" w:rsidRPr="009F14BD" w:rsidRDefault="009F14BD" w:rsidP="009F14BD">
      <w:pPr>
        <w:suppressAutoHyphens/>
        <w:spacing w:line="276" w:lineRule="auto"/>
        <w:jc w:val="both"/>
        <w:rPr>
          <w:rFonts w:ascii="Arial" w:hAnsi="Arial" w:cs="Arial"/>
          <w:spacing w:val="-3"/>
          <w:sz w:val="22"/>
          <w:szCs w:val="22"/>
        </w:rPr>
      </w:pPr>
    </w:p>
    <w:p w14:paraId="1FCC677F" w14:textId="1A8DB356" w:rsidR="00A11D41" w:rsidRDefault="00455A08" w:rsidP="00A11D41">
      <w:pPr>
        <w:suppressAutoHyphens/>
        <w:spacing w:line="276" w:lineRule="auto"/>
        <w:jc w:val="both"/>
        <w:rPr>
          <w:rFonts w:ascii="Arial" w:hAnsi="Arial" w:cs="Arial"/>
          <w:spacing w:val="-3"/>
          <w:sz w:val="22"/>
          <w:szCs w:val="22"/>
        </w:rPr>
      </w:pPr>
      <w:r w:rsidRPr="00455A08">
        <w:rPr>
          <w:rFonts w:ascii="Arial" w:hAnsi="Arial" w:cs="Arial"/>
          <w:spacing w:val="-3"/>
          <w:sz w:val="22"/>
          <w:szCs w:val="22"/>
        </w:rPr>
        <w:lastRenderedPageBreak/>
        <w:t xml:space="preserve">These funding sources present an opportunity for STA to consider a more strategic approach to leveraging local and state funds to support competitive grant applications, advance Smart Growth objectives, and reduce the risk that available formula funds remain unused or become difficult for smaller agencies to deliver. Staff has developed several concepts for consideration. These concepts are intended to inform future policy direction regarding how STA may reserve, assign, exchange, or prioritize available Smart Growth and SB 1 LPP Formula funds. Any future approach would be subject to confirmation of legal eligibility, consistency with the Measure A Expenditure Plan and SB 1 requirements, </w:t>
      </w:r>
      <w:r w:rsidR="00E25E38">
        <w:rPr>
          <w:rFonts w:ascii="Arial" w:hAnsi="Arial" w:cs="Arial"/>
          <w:spacing w:val="-3"/>
          <w:sz w:val="22"/>
          <w:szCs w:val="22"/>
        </w:rPr>
        <w:t xml:space="preserve">Professional Advisory Group (PAG) review </w:t>
      </w:r>
      <w:r w:rsidRPr="00455A08">
        <w:rPr>
          <w:rFonts w:ascii="Arial" w:hAnsi="Arial" w:cs="Arial"/>
          <w:spacing w:val="-3"/>
          <w:sz w:val="22"/>
          <w:szCs w:val="22"/>
        </w:rPr>
        <w:t>and Governing Board direction.</w:t>
      </w:r>
    </w:p>
    <w:p w14:paraId="05FDFE0F" w14:textId="77777777" w:rsidR="00455A08" w:rsidRPr="00ED7E3A" w:rsidRDefault="00455A08" w:rsidP="00A11D41">
      <w:pPr>
        <w:suppressAutoHyphens/>
        <w:spacing w:line="276" w:lineRule="auto"/>
        <w:jc w:val="both"/>
        <w:rPr>
          <w:rFonts w:ascii="Arial" w:hAnsi="Arial" w:cs="Arial"/>
          <w:spacing w:val="-3"/>
          <w:sz w:val="22"/>
          <w:szCs w:val="22"/>
        </w:rPr>
      </w:pPr>
    </w:p>
    <w:p w14:paraId="2877FEF5" w14:textId="77777777" w:rsidR="00836F09" w:rsidRPr="005715CA" w:rsidRDefault="00836F09" w:rsidP="00836F09">
      <w:pPr>
        <w:suppressAutoHyphens/>
        <w:spacing w:line="276" w:lineRule="auto"/>
        <w:jc w:val="both"/>
        <w:rPr>
          <w:rFonts w:ascii="Arial" w:hAnsi="Arial" w:cs="Arial"/>
          <w:b/>
          <w:spacing w:val="-3"/>
          <w:sz w:val="22"/>
          <w:szCs w:val="22"/>
          <w:u w:val="single"/>
        </w:rPr>
      </w:pPr>
      <w:r w:rsidRPr="005715CA">
        <w:rPr>
          <w:rFonts w:ascii="Arial" w:hAnsi="Arial" w:cs="Arial"/>
          <w:b/>
          <w:spacing w:val="-3"/>
          <w:sz w:val="22"/>
          <w:szCs w:val="22"/>
          <w:u w:val="single"/>
        </w:rPr>
        <w:t>Discussion</w:t>
      </w:r>
    </w:p>
    <w:p w14:paraId="31B33876" w14:textId="77777777" w:rsidR="00FB5BBE" w:rsidRDefault="00FB5BBE" w:rsidP="00FB5BBE">
      <w:pPr>
        <w:jc w:val="both"/>
        <w:rPr>
          <w:rFonts w:ascii="Arial" w:hAnsi="Arial" w:cs="Arial"/>
          <w:sz w:val="22"/>
          <w:szCs w:val="22"/>
        </w:rPr>
      </w:pPr>
    </w:p>
    <w:p w14:paraId="36F033D2" w14:textId="77777777" w:rsidR="00FB5BBE" w:rsidRPr="00FB5BBE" w:rsidRDefault="00FB5BBE" w:rsidP="00FB5BBE">
      <w:pPr>
        <w:jc w:val="both"/>
        <w:rPr>
          <w:rFonts w:ascii="Arial" w:hAnsi="Arial" w:cs="Arial"/>
          <w:sz w:val="22"/>
          <w:szCs w:val="22"/>
          <w:u w:val="single"/>
        </w:rPr>
      </w:pPr>
      <w:r w:rsidRPr="00FB5BBE">
        <w:rPr>
          <w:rFonts w:ascii="Arial" w:hAnsi="Arial" w:cs="Arial"/>
          <w:sz w:val="22"/>
          <w:szCs w:val="22"/>
          <w:u w:val="single"/>
        </w:rPr>
        <w:t>Concept 1: Smart Growth Phase 3 Leveraging Strategy</w:t>
      </w:r>
    </w:p>
    <w:p w14:paraId="3800C62C" w14:textId="77777777" w:rsidR="00FB5BBE" w:rsidRPr="00FB5BBE" w:rsidRDefault="00FB5BBE" w:rsidP="00FB5BBE">
      <w:pPr>
        <w:jc w:val="both"/>
        <w:rPr>
          <w:rFonts w:ascii="Arial" w:hAnsi="Arial" w:cs="Arial"/>
          <w:sz w:val="22"/>
          <w:szCs w:val="22"/>
        </w:rPr>
      </w:pPr>
    </w:p>
    <w:p w14:paraId="10BF5962" w14:textId="77777777" w:rsidR="00FB5BBE" w:rsidRPr="00FB5BBE" w:rsidRDefault="00FB5BBE" w:rsidP="00FB5BBE">
      <w:pPr>
        <w:jc w:val="both"/>
        <w:rPr>
          <w:rFonts w:ascii="Arial" w:hAnsi="Arial" w:cs="Arial"/>
          <w:sz w:val="22"/>
          <w:szCs w:val="22"/>
        </w:rPr>
      </w:pPr>
      <w:r w:rsidRPr="00FB5BBE">
        <w:rPr>
          <w:rFonts w:ascii="Arial" w:hAnsi="Arial" w:cs="Arial"/>
          <w:sz w:val="22"/>
          <w:szCs w:val="22"/>
        </w:rPr>
        <w:t>Under this concept, STA would use the approximately $4.7 million in available Measure A Smart Growth funds to establish a structured leveraging strategy for upcoming grant cycles. Using an approach similar to STA’s past practice with LPP Formula funds, STA would identify a planning-level amount of Smart Growth funding for eligible agencies to use in connection with upcoming grant opportunities, including the SACOG Regional Funding Program and, where appropriate, other competitive programs such as SB 1 competitive grant programs, ATP, and similar funding opportunities.</w:t>
      </w:r>
    </w:p>
    <w:p w14:paraId="17D4BE73" w14:textId="77777777" w:rsidR="00FB5BBE" w:rsidRPr="00FB5BBE" w:rsidRDefault="00FB5BBE" w:rsidP="00FB5BBE">
      <w:pPr>
        <w:jc w:val="both"/>
        <w:rPr>
          <w:rFonts w:ascii="Arial" w:hAnsi="Arial" w:cs="Arial"/>
          <w:sz w:val="22"/>
          <w:szCs w:val="22"/>
        </w:rPr>
      </w:pPr>
    </w:p>
    <w:p w14:paraId="579AFDF2" w14:textId="77777777" w:rsidR="00FB5BBE" w:rsidRPr="00FB5BBE" w:rsidRDefault="00FB5BBE" w:rsidP="00FB5BBE">
      <w:pPr>
        <w:jc w:val="both"/>
        <w:rPr>
          <w:rFonts w:ascii="Arial" w:hAnsi="Arial" w:cs="Arial"/>
          <w:sz w:val="22"/>
          <w:szCs w:val="22"/>
        </w:rPr>
      </w:pPr>
      <w:r w:rsidRPr="00FB5BBE">
        <w:rPr>
          <w:rFonts w:ascii="Arial" w:hAnsi="Arial" w:cs="Arial"/>
          <w:sz w:val="22"/>
          <w:szCs w:val="22"/>
        </w:rPr>
        <w:t>Each agency would document how it proposes to use its identified amount, and that information would be incorporated into a broader funding framework for Governing Board adoption. The identified amount for each agency would be treated as reserved and available for future use, but not on a strict use-it-or-lose-it basis. If an agency is unsuccessful in one funding cycle, the reserved amount could remain available for a future cycle, provided the proposed project continues to align with Smart Growth principles and the funds are used to leverage grant funding. This concept relies solely on Measure A Smart Growth funds and provides a structured but flexible framework for agencies to leverage future grants.</w:t>
      </w:r>
    </w:p>
    <w:p w14:paraId="700D0148" w14:textId="77777777" w:rsidR="00FB5BBE" w:rsidRPr="00FB5BBE" w:rsidRDefault="00FB5BBE" w:rsidP="00FB5BBE">
      <w:pPr>
        <w:jc w:val="both"/>
        <w:rPr>
          <w:rFonts w:ascii="Arial" w:hAnsi="Arial" w:cs="Arial"/>
          <w:sz w:val="22"/>
          <w:szCs w:val="22"/>
        </w:rPr>
      </w:pPr>
    </w:p>
    <w:p w14:paraId="3DF7153A" w14:textId="77777777" w:rsidR="00FB5BBE" w:rsidRPr="00FB5BBE" w:rsidRDefault="00FB5BBE" w:rsidP="00FB5BBE">
      <w:pPr>
        <w:jc w:val="both"/>
        <w:rPr>
          <w:rFonts w:ascii="Arial" w:hAnsi="Arial" w:cs="Arial"/>
          <w:sz w:val="22"/>
          <w:szCs w:val="22"/>
          <w:u w:val="single"/>
        </w:rPr>
      </w:pPr>
      <w:r w:rsidRPr="00FB5BBE">
        <w:rPr>
          <w:rFonts w:ascii="Arial" w:hAnsi="Arial" w:cs="Arial"/>
          <w:sz w:val="22"/>
          <w:szCs w:val="22"/>
          <w:u w:val="single"/>
        </w:rPr>
        <w:t>Concept 2: Smart Growth Leveraging Strategy with SB 1 LPP Formula Funds</w:t>
      </w:r>
    </w:p>
    <w:p w14:paraId="4AF62577" w14:textId="77777777" w:rsidR="00FB5BBE" w:rsidRPr="00FB5BBE" w:rsidRDefault="00FB5BBE" w:rsidP="00FB5BBE">
      <w:pPr>
        <w:jc w:val="both"/>
        <w:rPr>
          <w:rFonts w:ascii="Arial" w:hAnsi="Arial" w:cs="Arial"/>
          <w:sz w:val="22"/>
          <w:szCs w:val="22"/>
        </w:rPr>
      </w:pPr>
    </w:p>
    <w:p w14:paraId="60082670" w14:textId="77777777" w:rsidR="00FB5BBE" w:rsidRPr="00FB5BBE" w:rsidRDefault="00FB5BBE" w:rsidP="00FB5BBE">
      <w:pPr>
        <w:jc w:val="both"/>
        <w:rPr>
          <w:rFonts w:ascii="Arial" w:hAnsi="Arial" w:cs="Arial"/>
          <w:sz w:val="22"/>
          <w:szCs w:val="22"/>
        </w:rPr>
      </w:pPr>
      <w:r w:rsidRPr="00FB5BBE">
        <w:rPr>
          <w:rFonts w:ascii="Arial" w:hAnsi="Arial" w:cs="Arial"/>
          <w:sz w:val="22"/>
          <w:szCs w:val="22"/>
        </w:rPr>
        <w:t>Under this concept, STA would use the same general framework described in Concept 1, but would also incorporate the approximately $6.8 million in anticipated SB 1 LPP Formula funds available in fiscal years 2027-28 and 2028-29. This would create a combined pool of approximately $11.5 million in local and state resources.</w:t>
      </w:r>
    </w:p>
    <w:p w14:paraId="33B77938" w14:textId="77777777" w:rsidR="00FB5BBE" w:rsidRPr="00FB5BBE" w:rsidRDefault="00FB5BBE" w:rsidP="00FB5BBE">
      <w:pPr>
        <w:jc w:val="both"/>
        <w:rPr>
          <w:rFonts w:ascii="Arial" w:hAnsi="Arial" w:cs="Arial"/>
          <w:sz w:val="22"/>
          <w:szCs w:val="22"/>
        </w:rPr>
      </w:pPr>
    </w:p>
    <w:p w14:paraId="20B22DB7" w14:textId="77777777" w:rsidR="00FB5BBE" w:rsidRPr="00FB5BBE" w:rsidRDefault="00FB5BBE" w:rsidP="00FB5BBE">
      <w:pPr>
        <w:jc w:val="both"/>
        <w:rPr>
          <w:rFonts w:ascii="Arial" w:hAnsi="Arial" w:cs="Arial"/>
          <w:sz w:val="22"/>
          <w:szCs w:val="22"/>
        </w:rPr>
      </w:pPr>
      <w:r w:rsidRPr="00FB5BBE">
        <w:rPr>
          <w:rFonts w:ascii="Arial" w:hAnsi="Arial" w:cs="Arial"/>
          <w:sz w:val="22"/>
          <w:szCs w:val="22"/>
        </w:rPr>
        <w:t>This concept would provide a larger pool of leverageable funding. However, because SB 1 LPP Formula funds are more restrictive than Measure A Smart Growth funds, this approach would require additional coordination regarding project eligibility, timing, programming, and delivery responsibilities. It would also require STA to carefully structure the framework to ensure that the use of the more restrictive SB 1 funds remains practical and administratively workable.</w:t>
      </w:r>
    </w:p>
    <w:p w14:paraId="6E908D2F" w14:textId="77777777" w:rsidR="00FB5BBE" w:rsidRPr="00FB5BBE" w:rsidRDefault="00FB5BBE" w:rsidP="00FB5BBE">
      <w:pPr>
        <w:jc w:val="both"/>
        <w:rPr>
          <w:rFonts w:ascii="Arial" w:hAnsi="Arial" w:cs="Arial"/>
          <w:sz w:val="22"/>
          <w:szCs w:val="22"/>
        </w:rPr>
      </w:pPr>
    </w:p>
    <w:p w14:paraId="3A853DC2" w14:textId="77777777" w:rsidR="00FB5BBE" w:rsidRPr="00FB5BBE" w:rsidRDefault="00FB5BBE" w:rsidP="00FB5BBE">
      <w:pPr>
        <w:jc w:val="both"/>
        <w:rPr>
          <w:rFonts w:ascii="Arial" w:hAnsi="Arial" w:cs="Arial"/>
          <w:sz w:val="22"/>
          <w:szCs w:val="22"/>
          <w:u w:val="single"/>
        </w:rPr>
      </w:pPr>
      <w:r w:rsidRPr="00FB5BBE">
        <w:rPr>
          <w:rFonts w:ascii="Arial" w:hAnsi="Arial" w:cs="Arial"/>
          <w:sz w:val="22"/>
          <w:szCs w:val="22"/>
          <w:u w:val="single"/>
        </w:rPr>
        <w:t>Concept 3: Smart Growth Leveraging Strategy with LPP Exchange Component</w:t>
      </w:r>
    </w:p>
    <w:p w14:paraId="249F14B8" w14:textId="77777777" w:rsidR="00FB5BBE" w:rsidRPr="00FB5BBE" w:rsidRDefault="00FB5BBE" w:rsidP="00FB5BBE">
      <w:pPr>
        <w:jc w:val="both"/>
        <w:rPr>
          <w:rFonts w:ascii="Arial" w:hAnsi="Arial" w:cs="Arial"/>
          <w:sz w:val="22"/>
          <w:szCs w:val="22"/>
        </w:rPr>
      </w:pPr>
    </w:p>
    <w:p w14:paraId="05EA9723" w14:textId="77777777" w:rsidR="00FB5BBE" w:rsidRPr="00FB5BBE" w:rsidRDefault="00FB5BBE" w:rsidP="00FB5BBE">
      <w:pPr>
        <w:jc w:val="both"/>
        <w:rPr>
          <w:rFonts w:ascii="Arial" w:hAnsi="Arial" w:cs="Arial"/>
          <w:sz w:val="22"/>
          <w:szCs w:val="22"/>
        </w:rPr>
      </w:pPr>
      <w:r w:rsidRPr="00FB5BBE">
        <w:rPr>
          <w:rFonts w:ascii="Arial" w:hAnsi="Arial" w:cs="Arial"/>
          <w:sz w:val="22"/>
          <w:szCs w:val="22"/>
        </w:rPr>
        <w:t>This concept also combines the approximately $4.7 million in Measure A Smart Growth funds with the approximately $6.8 million in anticipated SB 1 LPP Formula funds, for a total of approximately $11.5 million. As with Concept 2, STA would identify a planning-level amount of funding for use by agencies in future grant cycles.</w:t>
      </w:r>
    </w:p>
    <w:p w14:paraId="13B4C759" w14:textId="77777777" w:rsidR="00FB5BBE" w:rsidRPr="00FB5BBE" w:rsidRDefault="00FB5BBE" w:rsidP="00FB5BBE">
      <w:pPr>
        <w:jc w:val="both"/>
        <w:rPr>
          <w:rFonts w:ascii="Arial" w:hAnsi="Arial" w:cs="Arial"/>
          <w:sz w:val="22"/>
          <w:szCs w:val="22"/>
        </w:rPr>
      </w:pPr>
    </w:p>
    <w:p w14:paraId="19506C90" w14:textId="77777777" w:rsidR="00FB5BBE" w:rsidRPr="00FB5BBE" w:rsidRDefault="00FB5BBE" w:rsidP="00FB5BBE">
      <w:pPr>
        <w:jc w:val="both"/>
        <w:rPr>
          <w:rFonts w:ascii="Arial" w:hAnsi="Arial" w:cs="Arial"/>
          <w:sz w:val="22"/>
          <w:szCs w:val="22"/>
        </w:rPr>
      </w:pPr>
      <w:r w:rsidRPr="00FB5BBE">
        <w:rPr>
          <w:rFonts w:ascii="Arial" w:hAnsi="Arial" w:cs="Arial"/>
          <w:sz w:val="22"/>
          <w:szCs w:val="22"/>
        </w:rPr>
        <w:lastRenderedPageBreak/>
        <w:t>However, under this concept, STA would also seek to have one or two agencies use all or a substantial portion of the SB 1 LPP Formula funds in exchange for less restrictive local funding. This exchange approach could provide greater overall flexibility than Concept 2 by concentrating the more restrictive SB 1 funds with agencies best positioned to deliver eligible projects, while freeing up local funds for broader use. STA has also reached out to SACOG to determine whether there may be another option to exchange these SB 1 LPP Formula funds for local funds. This concept may offer administrative and delivery advantages, but would require careful consideration of fairness among jurisdictions, legal eligibility, and consistency with the Measure A Expenditure Plan and SB 1 requirements.</w:t>
      </w:r>
    </w:p>
    <w:p w14:paraId="3D6191E0" w14:textId="77777777" w:rsidR="00FB5BBE" w:rsidRPr="00FB5BBE" w:rsidRDefault="00FB5BBE" w:rsidP="00FB5BBE">
      <w:pPr>
        <w:jc w:val="both"/>
        <w:rPr>
          <w:rFonts w:ascii="Arial" w:hAnsi="Arial" w:cs="Arial"/>
          <w:sz w:val="22"/>
          <w:szCs w:val="22"/>
        </w:rPr>
      </w:pPr>
    </w:p>
    <w:p w14:paraId="632615BD" w14:textId="77777777" w:rsidR="00FB5BBE" w:rsidRPr="00A538A2" w:rsidRDefault="00FB5BBE" w:rsidP="00FB5BBE">
      <w:pPr>
        <w:jc w:val="both"/>
        <w:rPr>
          <w:rFonts w:ascii="Arial" w:hAnsi="Arial" w:cs="Arial"/>
          <w:sz w:val="22"/>
          <w:szCs w:val="22"/>
          <w:u w:val="single"/>
        </w:rPr>
      </w:pPr>
      <w:r w:rsidRPr="00A538A2">
        <w:rPr>
          <w:rFonts w:ascii="Arial" w:hAnsi="Arial" w:cs="Arial"/>
          <w:sz w:val="22"/>
          <w:szCs w:val="22"/>
          <w:u w:val="single"/>
        </w:rPr>
        <w:t>Concept 4: SB 1 LPP Formula Funds Exchange</w:t>
      </w:r>
    </w:p>
    <w:p w14:paraId="471CEBEC" w14:textId="77777777" w:rsidR="00FB5BBE" w:rsidRPr="00FB5BBE" w:rsidRDefault="00FB5BBE" w:rsidP="00FB5BBE">
      <w:pPr>
        <w:jc w:val="both"/>
        <w:rPr>
          <w:rFonts w:ascii="Arial" w:hAnsi="Arial" w:cs="Arial"/>
          <w:sz w:val="22"/>
          <w:szCs w:val="22"/>
        </w:rPr>
      </w:pPr>
    </w:p>
    <w:p w14:paraId="3B9384AB" w14:textId="77777777" w:rsidR="00FB5BBE" w:rsidRPr="00FB5BBE" w:rsidRDefault="00FB5BBE" w:rsidP="00FB5BBE">
      <w:pPr>
        <w:jc w:val="both"/>
        <w:rPr>
          <w:rFonts w:ascii="Arial" w:hAnsi="Arial" w:cs="Arial"/>
          <w:sz w:val="22"/>
          <w:szCs w:val="22"/>
        </w:rPr>
      </w:pPr>
      <w:r w:rsidRPr="00FB5BBE">
        <w:rPr>
          <w:rFonts w:ascii="Arial" w:hAnsi="Arial" w:cs="Arial"/>
          <w:sz w:val="22"/>
          <w:szCs w:val="22"/>
        </w:rPr>
        <w:t xml:space="preserve">Under this concept, STA would focus specifically on the approximately $6.8 million in SB 1 LPP Formula funds anticipated in fiscal years 2027-28 and 2028-29. </w:t>
      </w:r>
      <w:proofErr w:type="spellStart"/>
      <w:r w:rsidRPr="00FB5BBE">
        <w:rPr>
          <w:rFonts w:ascii="Arial" w:hAnsi="Arial" w:cs="Arial"/>
          <w:sz w:val="22"/>
          <w:szCs w:val="22"/>
        </w:rPr>
        <w:t>SacRT</w:t>
      </w:r>
      <w:proofErr w:type="spellEnd"/>
      <w:r w:rsidRPr="00FB5BBE">
        <w:rPr>
          <w:rFonts w:ascii="Arial" w:hAnsi="Arial" w:cs="Arial"/>
          <w:sz w:val="22"/>
          <w:szCs w:val="22"/>
        </w:rPr>
        <w:t xml:space="preserve"> would continue to receive its LPP Formula allocation. For the remaining funds, STA would ask a limited number of cities or the County to program and deliver the SB 1 LPP Formula funds in exchange for Measure A City Street and County Road Maintenance Program funds.</w:t>
      </w:r>
    </w:p>
    <w:p w14:paraId="255555FC" w14:textId="77777777" w:rsidR="00FB5BBE" w:rsidRPr="00FB5BBE" w:rsidRDefault="00FB5BBE" w:rsidP="00FB5BBE">
      <w:pPr>
        <w:jc w:val="both"/>
        <w:rPr>
          <w:rFonts w:ascii="Arial" w:hAnsi="Arial" w:cs="Arial"/>
          <w:sz w:val="22"/>
          <w:szCs w:val="22"/>
        </w:rPr>
      </w:pPr>
    </w:p>
    <w:p w14:paraId="55D0716C" w14:textId="77777777" w:rsidR="00FB5BBE" w:rsidRPr="00FB5BBE" w:rsidRDefault="00FB5BBE" w:rsidP="00FB5BBE">
      <w:pPr>
        <w:jc w:val="both"/>
        <w:rPr>
          <w:rFonts w:ascii="Arial" w:hAnsi="Arial" w:cs="Arial"/>
          <w:sz w:val="22"/>
          <w:szCs w:val="22"/>
        </w:rPr>
      </w:pPr>
      <w:r w:rsidRPr="00FB5BBE">
        <w:rPr>
          <w:rFonts w:ascii="Arial" w:hAnsi="Arial" w:cs="Arial"/>
          <w:sz w:val="22"/>
          <w:szCs w:val="22"/>
        </w:rPr>
        <w:t>This approach could reduce the risk associated with small formulaic suballocations of SB 1 funds and improve the likelihood that available funds are programmed and delivered efficiently. It could also allow STA to redirect or increase Measure A allocations within the City Street and County Road Maintenance Program. However, any such exchange-based approach would need to be voluntary, legally supportable, and structured in a manner that appropriately addresses geographic and agency fairness over time.</w:t>
      </w:r>
    </w:p>
    <w:p w14:paraId="389C2403" w14:textId="77777777" w:rsidR="00FB5BBE" w:rsidRPr="00FB5BBE" w:rsidRDefault="00FB5BBE" w:rsidP="00FB5BBE">
      <w:pPr>
        <w:jc w:val="both"/>
        <w:rPr>
          <w:rFonts w:ascii="Arial" w:hAnsi="Arial" w:cs="Arial"/>
          <w:sz w:val="22"/>
          <w:szCs w:val="22"/>
        </w:rPr>
      </w:pPr>
    </w:p>
    <w:p w14:paraId="591E5085" w14:textId="77777777" w:rsidR="00FB5BBE" w:rsidRPr="00A538A2" w:rsidRDefault="00FB5BBE" w:rsidP="00FB5BBE">
      <w:pPr>
        <w:jc w:val="both"/>
        <w:rPr>
          <w:rFonts w:ascii="Arial" w:hAnsi="Arial" w:cs="Arial"/>
          <w:sz w:val="22"/>
          <w:szCs w:val="22"/>
          <w:u w:val="single"/>
        </w:rPr>
      </w:pPr>
      <w:r w:rsidRPr="00A538A2">
        <w:rPr>
          <w:rFonts w:ascii="Arial" w:hAnsi="Arial" w:cs="Arial"/>
          <w:sz w:val="22"/>
          <w:szCs w:val="22"/>
          <w:u w:val="single"/>
        </w:rPr>
        <w:t>Concept 5: SB 1 LPP Formula Funds for Regional Priorities Only</w:t>
      </w:r>
    </w:p>
    <w:p w14:paraId="7B03D874" w14:textId="77777777" w:rsidR="00FB5BBE" w:rsidRPr="00FB5BBE" w:rsidRDefault="00FB5BBE" w:rsidP="00FB5BBE">
      <w:pPr>
        <w:jc w:val="both"/>
        <w:rPr>
          <w:rFonts w:ascii="Arial" w:hAnsi="Arial" w:cs="Arial"/>
          <w:sz w:val="22"/>
          <w:szCs w:val="22"/>
        </w:rPr>
      </w:pPr>
    </w:p>
    <w:p w14:paraId="5D93C7AF" w14:textId="77777777" w:rsidR="00FB5BBE" w:rsidRPr="00FB5BBE" w:rsidRDefault="00FB5BBE" w:rsidP="00FB5BBE">
      <w:pPr>
        <w:jc w:val="both"/>
        <w:rPr>
          <w:rFonts w:ascii="Arial" w:hAnsi="Arial" w:cs="Arial"/>
          <w:sz w:val="22"/>
          <w:szCs w:val="22"/>
        </w:rPr>
      </w:pPr>
      <w:r w:rsidRPr="00FB5BBE">
        <w:rPr>
          <w:rFonts w:ascii="Arial" w:hAnsi="Arial" w:cs="Arial"/>
          <w:sz w:val="22"/>
          <w:szCs w:val="22"/>
        </w:rPr>
        <w:t>Under this concept, STA would not formulaically distribute the available SB 1 LPP Formula funds. Instead, STA would identify two or three regional priority projects to receive the funding.</w:t>
      </w:r>
    </w:p>
    <w:p w14:paraId="096073FF" w14:textId="77777777" w:rsidR="00FB5BBE" w:rsidRPr="00FB5BBE" w:rsidRDefault="00FB5BBE" w:rsidP="00FB5BBE">
      <w:pPr>
        <w:jc w:val="both"/>
        <w:rPr>
          <w:rFonts w:ascii="Arial" w:hAnsi="Arial" w:cs="Arial"/>
          <w:sz w:val="22"/>
          <w:szCs w:val="22"/>
        </w:rPr>
      </w:pPr>
    </w:p>
    <w:p w14:paraId="1BE00D08" w14:textId="544EB4EF" w:rsidR="00FB5BBE" w:rsidRDefault="00FB5BBE" w:rsidP="00FB5BBE">
      <w:pPr>
        <w:jc w:val="both"/>
        <w:rPr>
          <w:rFonts w:ascii="Arial" w:hAnsi="Arial" w:cs="Arial"/>
          <w:sz w:val="22"/>
          <w:szCs w:val="22"/>
        </w:rPr>
      </w:pPr>
      <w:r w:rsidRPr="00FB5BBE">
        <w:rPr>
          <w:rFonts w:ascii="Arial" w:hAnsi="Arial" w:cs="Arial"/>
          <w:sz w:val="22"/>
          <w:szCs w:val="22"/>
        </w:rPr>
        <w:t>This approach could simplify delivery, reduce the risk of underutilization, and focus funding on projects of broad regional importance and strong delivery readiness. However, this concept would require STA to address issues of geographic and agency fairness over time, potentially through an approach similar to STA’s STIP process, where priorities are balanced across funding cycles rather than within a single cycle.</w:t>
      </w:r>
    </w:p>
    <w:p w14:paraId="57C068D0" w14:textId="77777777" w:rsidR="00A71B1B" w:rsidRDefault="00A71B1B" w:rsidP="00FB5BBE">
      <w:pPr>
        <w:jc w:val="both"/>
        <w:rPr>
          <w:rFonts w:ascii="Arial" w:hAnsi="Arial" w:cs="Arial"/>
          <w:sz w:val="22"/>
          <w:szCs w:val="22"/>
        </w:rPr>
      </w:pPr>
    </w:p>
    <w:p w14:paraId="049F63E1" w14:textId="77777777" w:rsidR="00A71B1B" w:rsidRPr="00A71B1B" w:rsidRDefault="00A71B1B" w:rsidP="00A71B1B">
      <w:pPr>
        <w:jc w:val="both"/>
        <w:rPr>
          <w:rFonts w:ascii="Arial" w:hAnsi="Arial" w:cs="Arial"/>
          <w:sz w:val="22"/>
          <w:szCs w:val="22"/>
          <w:u w:val="single"/>
        </w:rPr>
      </w:pPr>
      <w:r w:rsidRPr="00A71B1B">
        <w:rPr>
          <w:rFonts w:ascii="Arial" w:hAnsi="Arial" w:cs="Arial"/>
          <w:sz w:val="22"/>
          <w:szCs w:val="22"/>
          <w:u w:val="single"/>
        </w:rPr>
        <w:t>Illustrative Funding Table</w:t>
      </w:r>
    </w:p>
    <w:p w14:paraId="71C765A8" w14:textId="77777777" w:rsidR="00A71B1B" w:rsidRPr="00A71B1B" w:rsidRDefault="00A71B1B" w:rsidP="00A71B1B">
      <w:pPr>
        <w:jc w:val="both"/>
        <w:rPr>
          <w:rFonts w:ascii="Arial" w:hAnsi="Arial" w:cs="Arial"/>
          <w:sz w:val="22"/>
          <w:szCs w:val="22"/>
        </w:rPr>
      </w:pPr>
    </w:p>
    <w:p w14:paraId="0EE26C62" w14:textId="0993E3B5" w:rsidR="00A71B1B" w:rsidRDefault="00A71B1B" w:rsidP="00A71B1B">
      <w:pPr>
        <w:jc w:val="both"/>
        <w:rPr>
          <w:rFonts w:ascii="Arial" w:hAnsi="Arial" w:cs="Arial"/>
          <w:sz w:val="22"/>
          <w:szCs w:val="22"/>
        </w:rPr>
      </w:pPr>
      <w:r w:rsidRPr="00A71B1B">
        <w:rPr>
          <w:rFonts w:ascii="Arial" w:hAnsi="Arial" w:cs="Arial"/>
          <w:sz w:val="22"/>
          <w:szCs w:val="22"/>
        </w:rPr>
        <w:t>The table below is provided for discussion purposes only. The amounts shown are planning-level reference amounts and do not constitute commitments, guarantees, or final allocations.</w:t>
      </w:r>
    </w:p>
    <w:p w14:paraId="204CB510" w14:textId="1A387C45" w:rsidR="0023310F" w:rsidRDefault="0023310F" w:rsidP="00314A8C">
      <w:pPr>
        <w:pStyle w:val="Default"/>
        <w:jc w:val="both"/>
        <w:rPr>
          <w:rFonts w:ascii="Arial" w:hAnsi="Arial" w:cs="Arial"/>
          <w:sz w:val="22"/>
          <w:szCs w:val="22"/>
        </w:rPr>
      </w:pPr>
    </w:p>
    <w:tbl>
      <w:tblPr>
        <w:tblStyle w:val="GridTable4"/>
        <w:tblW w:w="0" w:type="auto"/>
        <w:tblLook w:val="04A0" w:firstRow="1" w:lastRow="0" w:firstColumn="1" w:lastColumn="0" w:noHBand="0" w:noVBand="1"/>
      </w:tblPr>
      <w:tblGrid>
        <w:gridCol w:w="2155"/>
        <w:gridCol w:w="1710"/>
        <w:gridCol w:w="1800"/>
        <w:gridCol w:w="90"/>
        <w:gridCol w:w="1530"/>
      </w:tblGrid>
      <w:tr w:rsidR="00490282" w:rsidRPr="0023310F" w14:paraId="76149A38" w14:textId="77777777" w:rsidTr="004E7393">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155" w:type="dxa"/>
            <w:noWrap/>
            <w:hideMark/>
          </w:tcPr>
          <w:p w14:paraId="6D40CA0F" w14:textId="77777777" w:rsidR="00490282" w:rsidRPr="0023310F" w:rsidRDefault="00490282" w:rsidP="00490282">
            <w:pPr>
              <w:pStyle w:val="Default"/>
              <w:jc w:val="both"/>
              <w:rPr>
                <w:rFonts w:ascii="Arial" w:hAnsi="Arial" w:cs="Arial"/>
                <w:color w:val="FFFFFF" w:themeColor="background1"/>
                <w:sz w:val="22"/>
                <w:szCs w:val="22"/>
              </w:rPr>
            </w:pPr>
          </w:p>
        </w:tc>
        <w:tc>
          <w:tcPr>
            <w:tcW w:w="1710" w:type="dxa"/>
            <w:hideMark/>
          </w:tcPr>
          <w:p w14:paraId="69949B21" w14:textId="77777777" w:rsidR="00490282" w:rsidRPr="0023310F" w:rsidRDefault="00490282" w:rsidP="004E7393">
            <w:pPr>
              <w:pStyle w:val="Defaul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23310F">
              <w:rPr>
                <w:rFonts w:ascii="Arial" w:hAnsi="Arial" w:cs="Arial"/>
                <w:color w:val="FFFFFF" w:themeColor="background1"/>
                <w:sz w:val="22"/>
                <w:szCs w:val="22"/>
              </w:rPr>
              <w:t>Smart Growth Ph 3</w:t>
            </w:r>
          </w:p>
        </w:tc>
        <w:tc>
          <w:tcPr>
            <w:tcW w:w="1890" w:type="dxa"/>
            <w:gridSpan w:val="2"/>
            <w:hideMark/>
          </w:tcPr>
          <w:p w14:paraId="05104098" w14:textId="77777777" w:rsidR="00490282" w:rsidRPr="0023310F" w:rsidRDefault="00490282" w:rsidP="004E7393">
            <w:pPr>
              <w:pStyle w:val="Defaul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23310F">
              <w:rPr>
                <w:rFonts w:ascii="Arial" w:hAnsi="Arial" w:cs="Arial"/>
                <w:color w:val="FFFFFF" w:themeColor="background1"/>
                <w:sz w:val="22"/>
                <w:szCs w:val="22"/>
              </w:rPr>
              <w:t>SB 1 LPP Formula Funds</w:t>
            </w:r>
          </w:p>
        </w:tc>
        <w:tc>
          <w:tcPr>
            <w:tcW w:w="1530" w:type="dxa"/>
            <w:noWrap/>
            <w:hideMark/>
          </w:tcPr>
          <w:p w14:paraId="5B8AC782" w14:textId="77777777" w:rsidR="00490282" w:rsidRPr="0023310F" w:rsidRDefault="00490282" w:rsidP="004E7393">
            <w:pPr>
              <w:pStyle w:val="Defaul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23310F">
              <w:rPr>
                <w:rFonts w:ascii="Arial" w:hAnsi="Arial" w:cs="Arial"/>
                <w:color w:val="FFFFFF" w:themeColor="background1"/>
                <w:sz w:val="22"/>
                <w:szCs w:val="22"/>
              </w:rPr>
              <w:t>Combined</w:t>
            </w:r>
          </w:p>
        </w:tc>
      </w:tr>
      <w:tr w:rsidR="00490282" w:rsidRPr="00490282" w14:paraId="616BFDDB" w14:textId="77777777" w:rsidTr="0023310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55" w:type="dxa"/>
            <w:noWrap/>
            <w:hideMark/>
          </w:tcPr>
          <w:p w14:paraId="0F6D47F0" w14:textId="77777777" w:rsidR="00490282" w:rsidRPr="00490282" w:rsidRDefault="00490282" w:rsidP="00490282">
            <w:pPr>
              <w:pStyle w:val="Default"/>
              <w:jc w:val="both"/>
              <w:rPr>
                <w:rFonts w:ascii="Arial" w:hAnsi="Arial" w:cs="Arial"/>
                <w:sz w:val="22"/>
                <w:szCs w:val="22"/>
              </w:rPr>
            </w:pPr>
            <w:r w:rsidRPr="00490282">
              <w:rPr>
                <w:rFonts w:ascii="Arial" w:hAnsi="Arial" w:cs="Arial"/>
                <w:sz w:val="22"/>
                <w:szCs w:val="22"/>
              </w:rPr>
              <w:t>Citrus Heights</w:t>
            </w:r>
          </w:p>
        </w:tc>
        <w:tc>
          <w:tcPr>
            <w:tcW w:w="1710" w:type="dxa"/>
            <w:noWrap/>
            <w:hideMark/>
          </w:tcPr>
          <w:p w14:paraId="6E6D83BF" w14:textId="77777777" w:rsidR="00490282" w:rsidRPr="00490282" w:rsidRDefault="00490282" w:rsidP="00490282">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180,000 </w:t>
            </w:r>
          </w:p>
        </w:tc>
        <w:tc>
          <w:tcPr>
            <w:tcW w:w="1800" w:type="dxa"/>
            <w:noWrap/>
            <w:hideMark/>
          </w:tcPr>
          <w:p w14:paraId="7A64341D" w14:textId="77777777" w:rsidR="00490282" w:rsidRPr="00490282" w:rsidRDefault="00490282" w:rsidP="00490282">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300,000 </w:t>
            </w:r>
          </w:p>
        </w:tc>
        <w:tc>
          <w:tcPr>
            <w:tcW w:w="1620" w:type="dxa"/>
            <w:gridSpan w:val="2"/>
            <w:noWrap/>
            <w:hideMark/>
          </w:tcPr>
          <w:p w14:paraId="713034F1" w14:textId="77777777" w:rsidR="00490282" w:rsidRPr="00490282" w:rsidRDefault="00490282" w:rsidP="00490282">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480,000 </w:t>
            </w:r>
          </w:p>
        </w:tc>
      </w:tr>
      <w:tr w:rsidR="00490282" w:rsidRPr="00490282" w14:paraId="63AC90EA" w14:textId="77777777" w:rsidTr="0023310F">
        <w:trPr>
          <w:trHeight w:val="288"/>
        </w:trPr>
        <w:tc>
          <w:tcPr>
            <w:cnfStyle w:val="001000000000" w:firstRow="0" w:lastRow="0" w:firstColumn="1" w:lastColumn="0" w:oddVBand="0" w:evenVBand="0" w:oddHBand="0" w:evenHBand="0" w:firstRowFirstColumn="0" w:firstRowLastColumn="0" w:lastRowFirstColumn="0" w:lastRowLastColumn="0"/>
            <w:tcW w:w="2155" w:type="dxa"/>
            <w:noWrap/>
            <w:hideMark/>
          </w:tcPr>
          <w:p w14:paraId="06F6A197" w14:textId="77777777" w:rsidR="00490282" w:rsidRPr="00490282" w:rsidRDefault="00490282" w:rsidP="00490282">
            <w:pPr>
              <w:pStyle w:val="Default"/>
              <w:jc w:val="both"/>
              <w:rPr>
                <w:rFonts w:ascii="Arial" w:hAnsi="Arial" w:cs="Arial"/>
                <w:sz w:val="22"/>
                <w:szCs w:val="22"/>
              </w:rPr>
            </w:pPr>
            <w:r w:rsidRPr="00490282">
              <w:rPr>
                <w:rFonts w:ascii="Arial" w:hAnsi="Arial" w:cs="Arial"/>
                <w:sz w:val="22"/>
                <w:szCs w:val="22"/>
              </w:rPr>
              <w:t>Elk Grove</w:t>
            </w:r>
          </w:p>
        </w:tc>
        <w:tc>
          <w:tcPr>
            <w:tcW w:w="1710" w:type="dxa"/>
            <w:noWrap/>
            <w:hideMark/>
          </w:tcPr>
          <w:p w14:paraId="3EA1C7F7" w14:textId="77777777" w:rsidR="00490282" w:rsidRPr="00490282" w:rsidRDefault="00490282" w:rsidP="00490282">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390,000 </w:t>
            </w:r>
          </w:p>
        </w:tc>
        <w:tc>
          <w:tcPr>
            <w:tcW w:w="1800" w:type="dxa"/>
            <w:noWrap/>
            <w:hideMark/>
          </w:tcPr>
          <w:p w14:paraId="5F812BB7" w14:textId="77777777" w:rsidR="00490282" w:rsidRPr="00490282" w:rsidRDefault="00490282" w:rsidP="00490282">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580,000 </w:t>
            </w:r>
          </w:p>
        </w:tc>
        <w:tc>
          <w:tcPr>
            <w:tcW w:w="1620" w:type="dxa"/>
            <w:gridSpan w:val="2"/>
            <w:noWrap/>
            <w:hideMark/>
          </w:tcPr>
          <w:p w14:paraId="7976F547" w14:textId="77777777" w:rsidR="00490282" w:rsidRPr="00490282" w:rsidRDefault="00490282" w:rsidP="00490282">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970,000 </w:t>
            </w:r>
          </w:p>
        </w:tc>
      </w:tr>
      <w:tr w:rsidR="00490282" w:rsidRPr="00490282" w14:paraId="69CD994D" w14:textId="77777777" w:rsidTr="0023310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55" w:type="dxa"/>
            <w:noWrap/>
            <w:hideMark/>
          </w:tcPr>
          <w:p w14:paraId="6E403F0A" w14:textId="77777777" w:rsidR="00490282" w:rsidRPr="00490282" w:rsidRDefault="00490282" w:rsidP="00490282">
            <w:pPr>
              <w:pStyle w:val="Default"/>
              <w:jc w:val="both"/>
              <w:rPr>
                <w:rFonts w:ascii="Arial" w:hAnsi="Arial" w:cs="Arial"/>
                <w:sz w:val="22"/>
                <w:szCs w:val="22"/>
              </w:rPr>
            </w:pPr>
            <w:r w:rsidRPr="00490282">
              <w:rPr>
                <w:rFonts w:ascii="Arial" w:hAnsi="Arial" w:cs="Arial"/>
                <w:sz w:val="22"/>
                <w:szCs w:val="22"/>
              </w:rPr>
              <w:t>Folsom</w:t>
            </w:r>
          </w:p>
        </w:tc>
        <w:tc>
          <w:tcPr>
            <w:tcW w:w="1710" w:type="dxa"/>
            <w:noWrap/>
            <w:hideMark/>
          </w:tcPr>
          <w:p w14:paraId="31BF6143" w14:textId="77777777" w:rsidR="00490282" w:rsidRPr="00490282" w:rsidRDefault="00490282" w:rsidP="00490282">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210,000 </w:t>
            </w:r>
          </w:p>
        </w:tc>
        <w:tc>
          <w:tcPr>
            <w:tcW w:w="1800" w:type="dxa"/>
            <w:noWrap/>
            <w:hideMark/>
          </w:tcPr>
          <w:p w14:paraId="16032048" w14:textId="77777777" w:rsidR="00490282" w:rsidRPr="00490282" w:rsidRDefault="00490282" w:rsidP="00490282">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300,000 </w:t>
            </w:r>
          </w:p>
        </w:tc>
        <w:tc>
          <w:tcPr>
            <w:tcW w:w="1620" w:type="dxa"/>
            <w:gridSpan w:val="2"/>
            <w:noWrap/>
            <w:hideMark/>
          </w:tcPr>
          <w:p w14:paraId="10FA34F0" w14:textId="77777777" w:rsidR="00490282" w:rsidRPr="00490282" w:rsidRDefault="00490282" w:rsidP="00490282">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510,000 </w:t>
            </w:r>
          </w:p>
        </w:tc>
      </w:tr>
      <w:tr w:rsidR="00490282" w:rsidRPr="00490282" w14:paraId="0FB2FD1B" w14:textId="77777777" w:rsidTr="0023310F">
        <w:trPr>
          <w:trHeight w:val="288"/>
        </w:trPr>
        <w:tc>
          <w:tcPr>
            <w:cnfStyle w:val="001000000000" w:firstRow="0" w:lastRow="0" w:firstColumn="1" w:lastColumn="0" w:oddVBand="0" w:evenVBand="0" w:oddHBand="0" w:evenHBand="0" w:firstRowFirstColumn="0" w:firstRowLastColumn="0" w:lastRowFirstColumn="0" w:lastRowLastColumn="0"/>
            <w:tcW w:w="2155" w:type="dxa"/>
            <w:noWrap/>
            <w:hideMark/>
          </w:tcPr>
          <w:p w14:paraId="0F7F0F12" w14:textId="77777777" w:rsidR="00490282" w:rsidRPr="00490282" w:rsidRDefault="00490282" w:rsidP="00490282">
            <w:pPr>
              <w:pStyle w:val="Default"/>
              <w:jc w:val="both"/>
              <w:rPr>
                <w:rFonts w:ascii="Arial" w:hAnsi="Arial" w:cs="Arial"/>
                <w:sz w:val="22"/>
                <w:szCs w:val="22"/>
              </w:rPr>
            </w:pPr>
            <w:r w:rsidRPr="00490282">
              <w:rPr>
                <w:rFonts w:ascii="Arial" w:hAnsi="Arial" w:cs="Arial"/>
                <w:sz w:val="22"/>
                <w:szCs w:val="22"/>
              </w:rPr>
              <w:t>Galt</w:t>
            </w:r>
          </w:p>
        </w:tc>
        <w:tc>
          <w:tcPr>
            <w:tcW w:w="1710" w:type="dxa"/>
            <w:noWrap/>
            <w:hideMark/>
          </w:tcPr>
          <w:p w14:paraId="1871CED4" w14:textId="77777777" w:rsidR="00490282" w:rsidRPr="00490282" w:rsidRDefault="00490282" w:rsidP="00490282">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100,000 </w:t>
            </w:r>
          </w:p>
        </w:tc>
        <w:tc>
          <w:tcPr>
            <w:tcW w:w="1800" w:type="dxa"/>
            <w:noWrap/>
            <w:hideMark/>
          </w:tcPr>
          <w:p w14:paraId="611851B6" w14:textId="77777777" w:rsidR="00490282" w:rsidRPr="00490282" w:rsidRDefault="00490282" w:rsidP="00490282">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100,000 </w:t>
            </w:r>
          </w:p>
        </w:tc>
        <w:tc>
          <w:tcPr>
            <w:tcW w:w="1620" w:type="dxa"/>
            <w:gridSpan w:val="2"/>
            <w:noWrap/>
            <w:hideMark/>
          </w:tcPr>
          <w:p w14:paraId="7D03A3E2" w14:textId="77777777" w:rsidR="00490282" w:rsidRPr="00490282" w:rsidRDefault="00490282" w:rsidP="00490282">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200,000 </w:t>
            </w:r>
          </w:p>
        </w:tc>
      </w:tr>
      <w:tr w:rsidR="00490282" w:rsidRPr="00490282" w14:paraId="59C98B6F" w14:textId="77777777" w:rsidTr="0023310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55" w:type="dxa"/>
            <w:noWrap/>
            <w:hideMark/>
          </w:tcPr>
          <w:p w14:paraId="60A4ACC7" w14:textId="77777777" w:rsidR="00490282" w:rsidRPr="00490282" w:rsidRDefault="00490282" w:rsidP="00490282">
            <w:pPr>
              <w:pStyle w:val="Default"/>
              <w:jc w:val="both"/>
              <w:rPr>
                <w:rFonts w:ascii="Arial" w:hAnsi="Arial" w:cs="Arial"/>
                <w:sz w:val="22"/>
                <w:szCs w:val="22"/>
              </w:rPr>
            </w:pPr>
            <w:r w:rsidRPr="00490282">
              <w:rPr>
                <w:rFonts w:ascii="Arial" w:hAnsi="Arial" w:cs="Arial"/>
                <w:sz w:val="22"/>
                <w:szCs w:val="22"/>
              </w:rPr>
              <w:t>Isleton</w:t>
            </w:r>
          </w:p>
        </w:tc>
        <w:tc>
          <w:tcPr>
            <w:tcW w:w="1710" w:type="dxa"/>
            <w:noWrap/>
            <w:hideMark/>
          </w:tcPr>
          <w:p w14:paraId="2885426F" w14:textId="77777777" w:rsidR="00490282" w:rsidRPr="00490282" w:rsidRDefault="00490282" w:rsidP="00490282">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100,000 </w:t>
            </w:r>
          </w:p>
        </w:tc>
        <w:tc>
          <w:tcPr>
            <w:tcW w:w="1800" w:type="dxa"/>
            <w:noWrap/>
            <w:hideMark/>
          </w:tcPr>
          <w:p w14:paraId="1B5264A2" w14:textId="77777777" w:rsidR="00490282" w:rsidRPr="00490282" w:rsidRDefault="00490282" w:rsidP="00490282">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100,000 </w:t>
            </w:r>
          </w:p>
        </w:tc>
        <w:tc>
          <w:tcPr>
            <w:tcW w:w="1620" w:type="dxa"/>
            <w:gridSpan w:val="2"/>
            <w:noWrap/>
            <w:hideMark/>
          </w:tcPr>
          <w:p w14:paraId="42EB5931" w14:textId="77777777" w:rsidR="00490282" w:rsidRPr="00490282" w:rsidRDefault="00490282" w:rsidP="00490282">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200,000 </w:t>
            </w:r>
          </w:p>
        </w:tc>
      </w:tr>
      <w:tr w:rsidR="00490282" w:rsidRPr="00490282" w14:paraId="3CD6C4D8" w14:textId="77777777" w:rsidTr="0023310F">
        <w:trPr>
          <w:trHeight w:val="288"/>
        </w:trPr>
        <w:tc>
          <w:tcPr>
            <w:cnfStyle w:val="001000000000" w:firstRow="0" w:lastRow="0" w:firstColumn="1" w:lastColumn="0" w:oddVBand="0" w:evenVBand="0" w:oddHBand="0" w:evenHBand="0" w:firstRowFirstColumn="0" w:firstRowLastColumn="0" w:lastRowFirstColumn="0" w:lastRowLastColumn="0"/>
            <w:tcW w:w="2155" w:type="dxa"/>
            <w:noWrap/>
            <w:hideMark/>
          </w:tcPr>
          <w:p w14:paraId="23F70AFA" w14:textId="77777777" w:rsidR="00490282" w:rsidRPr="00490282" w:rsidRDefault="00490282" w:rsidP="00490282">
            <w:pPr>
              <w:pStyle w:val="Default"/>
              <w:jc w:val="both"/>
              <w:rPr>
                <w:rFonts w:ascii="Arial" w:hAnsi="Arial" w:cs="Arial"/>
                <w:sz w:val="22"/>
                <w:szCs w:val="22"/>
              </w:rPr>
            </w:pPr>
            <w:r w:rsidRPr="00490282">
              <w:rPr>
                <w:rFonts w:ascii="Arial" w:hAnsi="Arial" w:cs="Arial"/>
                <w:sz w:val="22"/>
                <w:szCs w:val="22"/>
              </w:rPr>
              <w:t>Rancho Cordova</w:t>
            </w:r>
          </w:p>
        </w:tc>
        <w:tc>
          <w:tcPr>
            <w:tcW w:w="1710" w:type="dxa"/>
            <w:noWrap/>
            <w:hideMark/>
          </w:tcPr>
          <w:p w14:paraId="576CD0A4" w14:textId="77777777" w:rsidR="00490282" w:rsidRPr="00490282" w:rsidRDefault="00490282" w:rsidP="00490282">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190,000 </w:t>
            </w:r>
          </w:p>
        </w:tc>
        <w:tc>
          <w:tcPr>
            <w:tcW w:w="1800" w:type="dxa"/>
            <w:noWrap/>
            <w:hideMark/>
          </w:tcPr>
          <w:p w14:paraId="048D09C9" w14:textId="77777777" w:rsidR="00490282" w:rsidRPr="00490282" w:rsidRDefault="00490282" w:rsidP="00490282">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300,000 </w:t>
            </w:r>
          </w:p>
        </w:tc>
        <w:tc>
          <w:tcPr>
            <w:tcW w:w="1620" w:type="dxa"/>
            <w:gridSpan w:val="2"/>
            <w:noWrap/>
            <w:hideMark/>
          </w:tcPr>
          <w:p w14:paraId="31BD0E35" w14:textId="77777777" w:rsidR="00490282" w:rsidRPr="00490282" w:rsidRDefault="00490282" w:rsidP="00490282">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490,000 </w:t>
            </w:r>
          </w:p>
        </w:tc>
      </w:tr>
      <w:tr w:rsidR="00490282" w:rsidRPr="00490282" w14:paraId="754F707E" w14:textId="77777777" w:rsidTr="0023310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55" w:type="dxa"/>
            <w:noWrap/>
            <w:hideMark/>
          </w:tcPr>
          <w:p w14:paraId="164A7826" w14:textId="77777777" w:rsidR="00490282" w:rsidRPr="00490282" w:rsidRDefault="00490282" w:rsidP="00490282">
            <w:pPr>
              <w:pStyle w:val="Default"/>
              <w:jc w:val="both"/>
              <w:rPr>
                <w:rFonts w:ascii="Arial" w:hAnsi="Arial" w:cs="Arial"/>
                <w:sz w:val="22"/>
                <w:szCs w:val="22"/>
              </w:rPr>
            </w:pPr>
            <w:r w:rsidRPr="00490282">
              <w:rPr>
                <w:rFonts w:ascii="Arial" w:hAnsi="Arial" w:cs="Arial"/>
                <w:sz w:val="22"/>
                <w:szCs w:val="22"/>
              </w:rPr>
              <w:t>Sacramento</w:t>
            </w:r>
          </w:p>
        </w:tc>
        <w:tc>
          <w:tcPr>
            <w:tcW w:w="1710" w:type="dxa"/>
            <w:noWrap/>
            <w:hideMark/>
          </w:tcPr>
          <w:p w14:paraId="41F00FF0" w14:textId="77777777" w:rsidR="00490282" w:rsidRPr="00490282" w:rsidRDefault="00490282" w:rsidP="00490282">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1,100,000 </w:t>
            </w:r>
          </w:p>
        </w:tc>
        <w:tc>
          <w:tcPr>
            <w:tcW w:w="1800" w:type="dxa"/>
            <w:noWrap/>
            <w:hideMark/>
          </w:tcPr>
          <w:p w14:paraId="31A044A1" w14:textId="77777777" w:rsidR="00490282" w:rsidRPr="00490282" w:rsidRDefault="00490282" w:rsidP="00490282">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1,660,000 </w:t>
            </w:r>
          </w:p>
        </w:tc>
        <w:tc>
          <w:tcPr>
            <w:tcW w:w="1620" w:type="dxa"/>
            <w:gridSpan w:val="2"/>
            <w:noWrap/>
            <w:hideMark/>
          </w:tcPr>
          <w:p w14:paraId="6C75912E" w14:textId="77777777" w:rsidR="00490282" w:rsidRPr="00490282" w:rsidRDefault="00490282" w:rsidP="00490282">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2,760,000 </w:t>
            </w:r>
          </w:p>
        </w:tc>
      </w:tr>
      <w:tr w:rsidR="00490282" w:rsidRPr="00490282" w14:paraId="65FE8566" w14:textId="77777777" w:rsidTr="0023310F">
        <w:trPr>
          <w:trHeight w:val="288"/>
        </w:trPr>
        <w:tc>
          <w:tcPr>
            <w:cnfStyle w:val="001000000000" w:firstRow="0" w:lastRow="0" w:firstColumn="1" w:lastColumn="0" w:oddVBand="0" w:evenVBand="0" w:oddHBand="0" w:evenHBand="0" w:firstRowFirstColumn="0" w:firstRowLastColumn="0" w:lastRowFirstColumn="0" w:lastRowLastColumn="0"/>
            <w:tcW w:w="2155" w:type="dxa"/>
            <w:noWrap/>
            <w:hideMark/>
          </w:tcPr>
          <w:p w14:paraId="039B8970" w14:textId="77777777" w:rsidR="00490282" w:rsidRPr="00490282" w:rsidRDefault="00490282" w:rsidP="00490282">
            <w:pPr>
              <w:pStyle w:val="Default"/>
              <w:jc w:val="both"/>
              <w:rPr>
                <w:rFonts w:ascii="Arial" w:hAnsi="Arial" w:cs="Arial"/>
                <w:sz w:val="22"/>
                <w:szCs w:val="22"/>
              </w:rPr>
            </w:pPr>
            <w:r w:rsidRPr="00490282">
              <w:rPr>
                <w:rFonts w:ascii="Arial" w:hAnsi="Arial" w:cs="Arial"/>
                <w:sz w:val="22"/>
                <w:szCs w:val="22"/>
              </w:rPr>
              <w:t>County</w:t>
            </w:r>
          </w:p>
        </w:tc>
        <w:tc>
          <w:tcPr>
            <w:tcW w:w="1710" w:type="dxa"/>
            <w:noWrap/>
            <w:hideMark/>
          </w:tcPr>
          <w:p w14:paraId="00F44450" w14:textId="77777777" w:rsidR="00490282" w:rsidRPr="00490282" w:rsidRDefault="00490282" w:rsidP="00490282">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1,390,000 </w:t>
            </w:r>
          </w:p>
        </w:tc>
        <w:tc>
          <w:tcPr>
            <w:tcW w:w="1800" w:type="dxa"/>
            <w:noWrap/>
            <w:hideMark/>
          </w:tcPr>
          <w:p w14:paraId="35ED7480" w14:textId="77777777" w:rsidR="00490282" w:rsidRPr="00490282" w:rsidRDefault="00490282" w:rsidP="00490282">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2,100,000 </w:t>
            </w:r>
          </w:p>
        </w:tc>
        <w:tc>
          <w:tcPr>
            <w:tcW w:w="1620" w:type="dxa"/>
            <w:gridSpan w:val="2"/>
            <w:noWrap/>
            <w:hideMark/>
          </w:tcPr>
          <w:p w14:paraId="719B1842" w14:textId="77777777" w:rsidR="00490282" w:rsidRPr="00490282" w:rsidRDefault="00490282" w:rsidP="00490282">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3,490,000 </w:t>
            </w:r>
          </w:p>
        </w:tc>
      </w:tr>
      <w:tr w:rsidR="00490282" w:rsidRPr="00490282" w14:paraId="03C68B30" w14:textId="77777777" w:rsidTr="0023310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55" w:type="dxa"/>
            <w:noWrap/>
            <w:hideMark/>
          </w:tcPr>
          <w:p w14:paraId="705089C5" w14:textId="77777777" w:rsidR="00490282" w:rsidRPr="00490282" w:rsidRDefault="00490282" w:rsidP="00490282">
            <w:pPr>
              <w:pStyle w:val="Default"/>
              <w:jc w:val="both"/>
              <w:rPr>
                <w:rFonts w:ascii="Arial" w:hAnsi="Arial" w:cs="Arial"/>
                <w:sz w:val="22"/>
                <w:szCs w:val="22"/>
              </w:rPr>
            </w:pPr>
            <w:proofErr w:type="spellStart"/>
            <w:r w:rsidRPr="00490282">
              <w:rPr>
                <w:rFonts w:ascii="Arial" w:hAnsi="Arial" w:cs="Arial"/>
                <w:sz w:val="22"/>
                <w:szCs w:val="22"/>
              </w:rPr>
              <w:lastRenderedPageBreak/>
              <w:t>SacRT</w:t>
            </w:r>
            <w:proofErr w:type="spellEnd"/>
          </w:p>
        </w:tc>
        <w:tc>
          <w:tcPr>
            <w:tcW w:w="1710" w:type="dxa"/>
            <w:noWrap/>
            <w:hideMark/>
          </w:tcPr>
          <w:p w14:paraId="5CC24419" w14:textId="77777777" w:rsidR="00490282" w:rsidRPr="00490282" w:rsidRDefault="00490282" w:rsidP="00490282">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1,050,000 </w:t>
            </w:r>
          </w:p>
        </w:tc>
        <w:tc>
          <w:tcPr>
            <w:tcW w:w="1800" w:type="dxa"/>
            <w:noWrap/>
            <w:hideMark/>
          </w:tcPr>
          <w:p w14:paraId="23BB64E6" w14:textId="77777777" w:rsidR="00490282" w:rsidRPr="00490282" w:rsidRDefault="00490282" w:rsidP="00490282">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1,530,000 </w:t>
            </w:r>
          </w:p>
        </w:tc>
        <w:tc>
          <w:tcPr>
            <w:tcW w:w="1620" w:type="dxa"/>
            <w:gridSpan w:val="2"/>
            <w:noWrap/>
            <w:hideMark/>
          </w:tcPr>
          <w:p w14:paraId="671AA205" w14:textId="77777777" w:rsidR="00490282" w:rsidRPr="00490282" w:rsidRDefault="00490282" w:rsidP="00490282">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2,580,000 </w:t>
            </w:r>
          </w:p>
        </w:tc>
      </w:tr>
      <w:tr w:rsidR="00490282" w:rsidRPr="00490282" w14:paraId="18E8E20D" w14:textId="77777777" w:rsidTr="0023310F">
        <w:trPr>
          <w:trHeight w:val="288"/>
        </w:trPr>
        <w:tc>
          <w:tcPr>
            <w:cnfStyle w:val="001000000000" w:firstRow="0" w:lastRow="0" w:firstColumn="1" w:lastColumn="0" w:oddVBand="0" w:evenVBand="0" w:oddHBand="0" w:evenHBand="0" w:firstRowFirstColumn="0" w:firstRowLastColumn="0" w:lastRowFirstColumn="0" w:lastRowLastColumn="0"/>
            <w:tcW w:w="2155" w:type="dxa"/>
            <w:noWrap/>
            <w:hideMark/>
          </w:tcPr>
          <w:p w14:paraId="72D65D18" w14:textId="77777777" w:rsidR="00490282" w:rsidRPr="00490282" w:rsidRDefault="00490282" w:rsidP="00490282">
            <w:pPr>
              <w:pStyle w:val="Default"/>
              <w:jc w:val="both"/>
              <w:rPr>
                <w:rFonts w:ascii="Arial" w:hAnsi="Arial" w:cs="Arial"/>
                <w:sz w:val="22"/>
                <w:szCs w:val="22"/>
              </w:rPr>
            </w:pPr>
            <w:r w:rsidRPr="00490282">
              <w:rPr>
                <w:rFonts w:ascii="Arial" w:hAnsi="Arial" w:cs="Arial"/>
                <w:sz w:val="22"/>
                <w:szCs w:val="22"/>
              </w:rPr>
              <w:t>Total</w:t>
            </w:r>
          </w:p>
        </w:tc>
        <w:tc>
          <w:tcPr>
            <w:tcW w:w="1710" w:type="dxa"/>
            <w:noWrap/>
            <w:hideMark/>
          </w:tcPr>
          <w:p w14:paraId="24BE4573" w14:textId="77777777" w:rsidR="00490282" w:rsidRPr="00490282" w:rsidRDefault="00490282" w:rsidP="00490282">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4,710,000 </w:t>
            </w:r>
          </w:p>
        </w:tc>
        <w:tc>
          <w:tcPr>
            <w:tcW w:w="1800" w:type="dxa"/>
            <w:noWrap/>
            <w:hideMark/>
          </w:tcPr>
          <w:p w14:paraId="327B1DA0" w14:textId="77777777" w:rsidR="00490282" w:rsidRPr="00490282" w:rsidRDefault="00490282" w:rsidP="00490282">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6,779,000 </w:t>
            </w:r>
          </w:p>
        </w:tc>
        <w:tc>
          <w:tcPr>
            <w:tcW w:w="1620" w:type="dxa"/>
            <w:gridSpan w:val="2"/>
            <w:noWrap/>
            <w:hideMark/>
          </w:tcPr>
          <w:p w14:paraId="382C5C97" w14:textId="77777777" w:rsidR="00490282" w:rsidRPr="00490282" w:rsidRDefault="00490282" w:rsidP="00490282">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0282">
              <w:rPr>
                <w:rFonts w:ascii="Arial" w:hAnsi="Arial" w:cs="Arial"/>
                <w:sz w:val="22"/>
                <w:szCs w:val="22"/>
              </w:rPr>
              <w:t xml:space="preserve"> $ 11,489,000 </w:t>
            </w:r>
          </w:p>
        </w:tc>
      </w:tr>
    </w:tbl>
    <w:p w14:paraId="65FB7C36" w14:textId="77777777" w:rsidR="00490282" w:rsidRDefault="00490282" w:rsidP="00314A8C">
      <w:pPr>
        <w:pStyle w:val="Default"/>
        <w:jc w:val="both"/>
        <w:rPr>
          <w:rFonts w:ascii="Arial" w:hAnsi="Arial" w:cs="Arial"/>
          <w:sz w:val="22"/>
          <w:szCs w:val="22"/>
        </w:rPr>
      </w:pPr>
    </w:p>
    <w:p w14:paraId="46DAD89D" w14:textId="77777777" w:rsidR="004E7393" w:rsidRDefault="004E7393" w:rsidP="00314A8C">
      <w:pPr>
        <w:pStyle w:val="Default"/>
        <w:jc w:val="both"/>
        <w:rPr>
          <w:rFonts w:ascii="Arial" w:hAnsi="Arial" w:cs="Arial"/>
          <w:sz w:val="22"/>
          <w:szCs w:val="22"/>
        </w:rPr>
      </w:pPr>
    </w:p>
    <w:p w14:paraId="1652AE6F" w14:textId="77777777" w:rsidR="00561577" w:rsidRPr="00561577" w:rsidRDefault="00561577" w:rsidP="00561577">
      <w:pPr>
        <w:pStyle w:val="Default"/>
        <w:jc w:val="both"/>
        <w:rPr>
          <w:rFonts w:ascii="Arial" w:hAnsi="Arial" w:cs="Arial"/>
          <w:sz w:val="22"/>
          <w:szCs w:val="22"/>
          <w:u w:val="single"/>
        </w:rPr>
      </w:pPr>
      <w:r w:rsidRPr="00561577">
        <w:rPr>
          <w:rFonts w:ascii="Arial" w:hAnsi="Arial" w:cs="Arial"/>
          <w:sz w:val="22"/>
          <w:szCs w:val="22"/>
          <w:u w:val="single"/>
        </w:rPr>
        <w:t>Alternatives</w:t>
      </w:r>
    </w:p>
    <w:p w14:paraId="7CFA89A0" w14:textId="77777777" w:rsidR="00561577" w:rsidRPr="00561577" w:rsidRDefault="00561577" w:rsidP="00561577">
      <w:pPr>
        <w:pStyle w:val="Default"/>
        <w:jc w:val="both"/>
        <w:rPr>
          <w:rFonts w:ascii="Arial" w:hAnsi="Arial" w:cs="Arial"/>
          <w:sz w:val="22"/>
          <w:szCs w:val="22"/>
        </w:rPr>
      </w:pPr>
    </w:p>
    <w:p w14:paraId="327EACE5" w14:textId="77777777" w:rsidR="00561577" w:rsidRPr="00561577" w:rsidRDefault="00561577" w:rsidP="00561577">
      <w:pPr>
        <w:pStyle w:val="Default"/>
        <w:jc w:val="both"/>
        <w:rPr>
          <w:rFonts w:ascii="Arial" w:hAnsi="Arial" w:cs="Arial"/>
          <w:sz w:val="22"/>
          <w:szCs w:val="22"/>
        </w:rPr>
      </w:pPr>
      <w:r w:rsidRPr="00561577">
        <w:rPr>
          <w:rFonts w:ascii="Arial" w:hAnsi="Arial" w:cs="Arial"/>
          <w:sz w:val="22"/>
          <w:szCs w:val="22"/>
        </w:rPr>
        <w:t>Based on the concepts above, STA could consider the following higher-level alternatives for further development:</w:t>
      </w:r>
    </w:p>
    <w:p w14:paraId="40BBAB14" w14:textId="77777777" w:rsidR="00561577" w:rsidRPr="00561577" w:rsidRDefault="00561577" w:rsidP="00561577">
      <w:pPr>
        <w:pStyle w:val="Default"/>
        <w:jc w:val="both"/>
        <w:rPr>
          <w:rFonts w:ascii="Arial" w:hAnsi="Arial" w:cs="Arial"/>
          <w:sz w:val="22"/>
          <w:szCs w:val="22"/>
          <w:u w:val="single"/>
        </w:rPr>
      </w:pPr>
    </w:p>
    <w:p w14:paraId="7A9EE897" w14:textId="77777777" w:rsidR="00561577" w:rsidRPr="00561577" w:rsidRDefault="00561577" w:rsidP="00561577">
      <w:pPr>
        <w:pStyle w:val="Default"/>
        <w:jc w:val="both"/>
        <w:rPr>
          <w:rFonts w:ascii="Arial" w:hAnsi="Arial" w:cs="Arial"/>
          <w:sz w:val="22"/>
          <w:szCs w:val="22"/>
          <w:u w:val="single"/>
        </w:rPr>
      </w:pPr>
      <w:r w:rsidRPr="00561577">
        <w:rPr>
          <w:rFonts w:ascii="Arial" w:hAnsi="Arial" w:cs="Arial"/>
          <w:sz w:val="22"/>
          <w:szCs w:val="22"/>
          <w:u w:val="single"/>
        </w:rPr>
        <w:t>Alternative A</w:t>
      </w:r>
    </w:p>
    <w:p w14:paraId="3D4DF040" w14:textId="77777777" w:rsidR="00561577" w:rsidRPr="00561577" w:rsidRDefault="00561577" w:rsidP="00561577">
      <w:pPr>
        <w:pStyle w:val="Default"/>
        <w:jc w:val="both"/>
        <w:rPr>
          <w:rFonts w:ascii="Arial" w:hAnsi="Arial" w:cs="Arial"/>
          <w:sz w:val="22"/>
          <w:szCs w:val="22"/>
        </w:rPr>
      </w:pPr>
    </w:p>
    <w:p w14:paraId="7206A9C7" w14:textId="77777777" w:rsidR="00561577" w:rsidRPr="00561577" w:rsidRDefault="00561577" w:rsidP="00561577">
      <w:pPr>
        <w:pStyle w:val="Default"/>
        <w:jc w:val="both"/>
        <w:rPr>
          <w:rFonts w:ascii="Arial" w:hAnsi="Arial" w:cs="Arial"/>
          <w:sz w:val="22"/>
          <w:szCs w:val="22"/>
        </w:rPr>
      </w:pPr>
      <w:r w:rsidRPr="00561577">
        <w:rPr>
          <w:rFonts w:ascii="Arial" w:hAnsi="Arial" w:cs="Arial"/>
          <w:sz w:val="22"/>
          <w:szCs w:val="22"/>
        </w:rPr>
        <w:t>Advance Concept 1 and Concept 4.</w:t>
      </w:r>
    </w:p>
    <w:p w14:paraId="04AC3208" w14:textId="77777777" w:rsidR="00561577" w:rsidRPr="00561577" w:rsidRDefault="00561577" w:rsidP="00561577">
      <w:pPr>
        <w:pStyle w:val="Default"/>
        <w:jc w:val="both"/>
        <w:rPr>
          <w:rFonts w:ascii="Arial" w:hAnsi="Arial" w:cs="Arial"/>
          <w:sz w:val="22"/>
          <w:szCs w:val="22"/>
        </w:rPr>
      </w:pPr>
      <w:r w:rsidRPr="00561577">
        <w:rPr>
          <w:rFonts w:ascii="Arial" w:hAnsi="Arial" w:cs="Arial"/>
          <w:sz w:val="22"/>
          <w:szCs w:val="22"/>
        </w:rPr>
        <w:t>This alternative would maintain a separate Smart Growth leveraging framework while also pursuing an exchange-based strategy for SB 1 LPP Formula funds.</w:t>
      </w:r>
    </w:p>
    <w:p w14:paraId="5D07FE66" w14:textId="77777777" w:rsidR="00561577" w:rsidRPr="00561577" w:rsidRDefault="00561577" w:rsidP="00561577">
      <w:pPr>
        <w:pStyle w:val="Default"/>
        <w:jc w:val="both"/>
        <w:rPr>
          <w:rFonts w:ascii="Arial" w:hAnsi="Arial" w:cs="Arial"/>
          <w:sz w:val="22"/>
          <w:szCs w:val="22"/>
          <w:u w:val="single"/>
        </w:rPr>
      </w:pPr>
    </w:p>
    <w:p w14:paraId="16B77051" w14:textId="77777777" w:rsidR="00561577" w:rsidRPr="00561577" w:rsidRDefault="00561577" w:rsidP="00561577">
      <w:pPr>
        <w:pStyle w:val="Default"/>
        <w:jc w:val="both"/>
        <w:rPr>
          <w:rFonts w:ascii="Arial" w:hAnsi="Arial" w:cs="Arial"/>
          <w:sz w:val="22"/>
          <w:szCs w:val="22"/>
          <w:u w:val="single"/>
        </w:rPr>
      </w:pPr>
      <w:r w:rsidRPr="00561577">
        <w:rPr>
          <w:rFonts w:ascii="Arial" w:hAnsi="Arial" w:cs="Arial"/>
          <w:sz w:val="22"/>
          <w:szCs w:val="22"/>
          <w:u w:val="single"/>
        </w:rPr>
        <w:t>Alternative B</w:t>
      </w:r>
    </w:p>
    <w:p w14:paraId="165C7E10" w14:textId="77777777" w:rsidR="00561577" w:rsidRPr="00561577" w:rsidRDefault="00561577" w:rsidP="00561577">
      <w:pPr>
        <w:pStyle w:val="Default"/>
        <w:jc w:val="both"/>
        <w:rPr>
          <w:rFonts w:ascii="Arial" w:hAnsi="Arial" w:cs="Arial"/>
          <w:sz w:val="22"/>
          <w:szCs w:val="22"/>
          <w:u w:val="single"/>
        </w:rPr>
      </w:pPr>
    </w:p>
    <w:p w14:paraId="755CECD9" w14:textId="77777777" w:rsidR="00561577" w:rsidRPr="00561577" w:rsidRDefault="00561577" w:rsidP="00561577">
      <w:pPr>
        <w:pStyle w:val="Default"/>
        <w:jc w:val="both"/>
        <w:rPr>
          <w:rFonts w:ascii="Arial" w:hAnsi="Arial" w:cs="Arial"/>
          <w:sz w:val="22"/>
          <w:szCs w:val="22"/>
        </w:rPr>
      </w:pPr>
      <w:r w:rsidRPr="00561577">
        <w:rPr>
          <w:rFonts w:ascii="Arial" w:hAnsi="Arial" w:cs="Arial"/>
          <w:sz w:val="22"/>
          <w:szCs w:val="22"/>
        </w:rPr>
        <w:t>Advance Concept 1 and Concept 5.</w:t>
      </w:r>
    </w:p>
    <w:p w14:paraId="08F73426" w14:textId="77777777" w:rsidR="00561577" w:rsidRPr="00561577" w:rsidRDefault="00561577" w:rsidP="00561577">
      <w:pPr>
        <w:pStyle w:val="Default"/>
        <w:jc w:val="both"/>
        <w:rPr>
          <w:rFonts w:ascii="Arial" w:hAnsi="Arial" w:cs="Arial"/>
          <w:sz w:val="22"/>
          <w:szCs w:val="22"/>
        </w:rPr>
      </w:pPr>
      <w:r w:rsidRPr="00561577">
        <w:rPr>
          <w:rFonts w:ascii="Arial" w:hAnsi="Arial" w:cs="Arial"/>
          <w:sz w:val="22"/>
          <w:szCs w:val="22"/>
        </w:rPr>
        <w:t>This alternative would maintain a separate Smart Growth leveraging framework while dedicating SB 1 LPP Formula funds to a limited number of regional priority projects.</w:t>
      </w:r>
    </w:p>
    <w:p w14:paraId="0E985E44" w14:textId="77777777" w:rsidR="00561577" w:rsidRPr="00561577" w:rsidRDefault="00561577" w:rsidP="00561577">
      <w:pPr>
        <w:pStyle w:val="Default"/>
        <w:jc w:val="both"/>
        <w:rPr>
          <w:rFonts w:ascii="Arial" w:hAnsi="Arial" w:cs="Arial"/>
          <w:sz w:val="22"/>
          <w:szCs w:val="22"/>
          <w:u w:val="single"/>
        </w:rPr>
      </w:pPr>
    </w:p>
    <w:p w14:paraId="0664FC9F" w14:textId="77777777" w:rsidR="00561577" w:rsidRPr="00561577" w:rsidRDefault="00561577" w:rsidP="00561577">
      <w:pPr>
        <w:pStyle w:val="Default"/>
        <w:jc w:val="both"/>
        <w:rPr>
          <w:rFonts w:ascii="Arial" w:hAnsi="Arial" w:cs="Arial"/>
          <w:sz w:val="22"/>
          <w:szCs w:val="22"/>
          <w:u w:val="single"/>
        </w:rPr>
      </w:pPr>
      <w:r w:rsidRPr="00561577">
        <w:rPr>
          <w:rFonts w:ascii="Arial" w:hAnsi="Arial" w:cs="Arial"/>
          <w:sz w:val="22"/>
          <w:szCs w:val="22"/>
          <w:u w:val="single"/>
        </w:rPr>
        <w:t>Alternative C</w:t>
      </w:r>
    </w:p>
    <w:p w14:paraId="6B3C0FCA" w14:textId="77777777" w:rsidR="00561577" w:rsidRPr="00561577" w:rsidRDefault="00561577" w:rsidP="00561577">
      <w:pPr>
        <w:pStyle w:val="Default"/>
        <w:jc w:val="both"/>
        <w:rPr>
          <w:rFonts w:ascii="Arial" w:hAnsi="Arial" w:cs="Arial"/>
          <w:sz w:val="22"/>
          <w:szCs w:val="22"/>
        </w:rPr>
      </w:pPr>
    </w:p>
    <w:p w14:paraId="7A36A2C7" w14:textId="77777777" w:rsidR="00561577" w:rsidRPr="00561577" w:rsidRDefault="00561577" w:rsidP="00561577">
      <w:pPr>
        <w:pStyle w:val="Default"/>
        <w:jc w:val="both"/>
        <w:rPr>
          <w:rFonts w:ascii="Arial" w:hAnsi="Arial" w:cs="Arial"/>
          <w:sz w:val="22"/>
          <w:szCs w:val="22"/>
        </w:rPr>
      </w:pPr>
      <w:r w:rsidRPr="00561577">
        <w:rPr>
          <w:rFonts w:ascii="Arial" w:hAnsi="Arial" w:cs="Arial"/>
          <w:sz w:val="22"/>
          <w:szCs w:val="22"/>
        </w:rPr>
        <w:t>Advance Concept 2.</w:t>
      </w:r>
    </w:p>
    <w:p w14:paraId="1D0FA9CD" w14:textId="77777777" w:rsidR="00561577" w:rsidRPr="00561577" w:rsidRDefault="00561577" w:rsidP="00561577">
      <w:pPr>
        <w:pStyle w:val="Default"/>
        <w:jc w:val="both"/>
        <w:rPr>
          <w:rFonts w:ascii="Arial" w:hAnsi="Arial" w:cs="Arial"/>
          <w:sz w:val="22"/>
          <w:szCs w:val="22"/>
        </w:rPr>
      </w:pPr>
      <w:r w:rsidRPr="00561577">
        <w:rPr>
          <w:rFonts w:ascii="Arial" w:hAnsi="Arial" w:cs="Arial"/>
          <w:sz w:val="22"/>
          <w:szCs w:val="22"/>
        </w:rPr>
        <w:t>This alternative would create a single combined leveraging strategy using both Smart Growth and SB 1 LPP Formula funds, while accepting the additional coordination required by the more restrictive nature of SB 1 funds.</w:t>
      </w:r>
    </w:p>
    <w:p w14:paraId="7CF1DA89" w14:textId="77777777" w:rsidR="00561577" w:rsidRPr="00561577" w:rsidRDefault="00561577" w:rsidP="00561577">
      <w:pPr>
        <w:pStyle w:val="Default"/>
        <w:jc w:val="both"/>
        <w:rPr>
          <w:rFonts w:ascii="Arial" w:hAnsi="Arial" w:cs="Arial"/>
          <w:sz w:val="22"/>
          <w:szCs w:val="22"/>
          <w:u w:val="single"/>
        </w:rPr>
      </w:pPr>
    </w:p>
    <w:p w14:paraId="6559BB65" w14:textId="77777777" w:rsidR="00561577" w:rsidRPr="00561577" w:rsidRDefault="00561577" w:rsidP="00561577">
      <w:pPr>
        <w:pStyle w:val="Default"/>
        <w:jc w:val="both"/>
        <w:rPr>
          <w:rFonts w:ascii="Arial" w:hAnsi="Arial" w:cs="Arial"/>
          <w:sz w:val="22"/>
          <w:szCs w:val="22"/>
          <w:u w:val="single"/>
        </w:rPr>
      </w:pPr>
      <w:r w:rsidRPr="00561577">
        <w:rPr>
          <w:rFonts w:ascii="Arial" w:hAnsi="Arial" w:cs="Arial"/>
          <w:sz w:val="22"/>
          <w:szCs w:val="22"/>
          <w:u w:val="single"/>
        </w:rPr>
        <w:t>Alternative D</w:t>
      </w:r>
    </w:p>
    <w:p w14:paraId="3E76F4D2" w14:textId="77777777" w:rsidR="00561577" w:rsidRPr="00561577" w:rsidRDefault="00561577" w:rsidP="00561577">
      <w:pPr>
        <w:pStyle w:val="Default"/>
        <w:jc w:val="both"/>
        <w:rPr>
          <w:rFonts w:ascii="Arial" w:hAnsi="Arial" w:cs="Arial"/>
          <w:sz w:val="22"/>
          <w:szCs w:val="22"/>
        </w:rPr>
      </w:pPr>
    </w:p>
    <w:p w14:paraId="749B020A" w14:textId="77777777" w:rsidR="00561577" w:rsidRPr="00561577" w:rsidRDefault="00561577" w:rsidP="00561577">
      <w:pPr>
        <w:pStyle w:val="Default"/>
        <w:jc w:val="both"/>
        <w:rPr>
          <w:rFonts w:ascii="Arial" w:hAnsi="Arial" w:cs="Arial"/>
          <w:sz w:val="22"/>
          <w:szCs w:val="22"/>
        </w:rPr>
      </w:pPr>
      <w:r w:rsidRPr="00561577">
        <w:rPr>
          <w:rFonts w:ascii="Arial" w:hAnsi="Arial" w:cs="Arial"/>
          <w:sz w:val="22"/>
          <w:szCs w:val="22"/>
        </w:rPr>
        <w:t>Advance Concept 3.</w:t>
      </w:r>
    </w:p>
    <w:p w14:paraId="3BD6FC14" w14:textId="79AA2D18" w:rsidR="00627E13" w:rsidRPr="00627E13" w:rsidRDefault="00561577" w:rsidP="00561577">
      <w:pPr>
        <w:pStyle w:val="Default"/>
        <w:jc w:val="both"/>
        <w:rPr>
          <w:rFonts w:ascii="Arial" w:hAnsi="Arial" w:cs="Arial"/>
          <w:sz w:val="22"/>
          <w:szCs w:val="22"/>
        </w:rPr>
      </w:pPr>
      <w:r w:rsidRPr="00561577">
        <w:rPr>
          <w:rFonts w:ascii="Arial" w:hAnsi="Arial" w:cs="Arial"/>
          <w:sz w:val="22"/>
          <w:szCs w:val="22"/>
        </w:rPr>
        <w:t>This alternative would create a single combined leveraging strategy using both Smart Growth and SB 1 LPP Formula funds, while also pursuing a targeted exchange approach to maximize flexibility</w:t>
      </w:r>
      <w:r w:rsidRPr="00561577">
        <w:rPr>
          <w:rFonts w:ascii="Arial" w:hAnsi="Arial" w:cs="Arial"/>
          <w:sz w:val="22"/>
          <w:szCs w:val="22"/>
          <w:u w:val="single"/>
        </w:rPr>
        <w:t>.</w:t>
      </w:r>
    </w:p>
    <w:sectPr w:rsidR="00627E13" w:rsidRPr="00627E13" w:rsidSect="002E6359">
      <w:headerReference w:type="default" r:id="rId11"/>
      <w:headerReference w:type="first" r:id="rId12"/>
      <w:pgSz w:w="12240" w:h="15840" w:code="1"/>
      <w:pgMar w:top="1620" w:right="1440" w:bottom="81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38542" w14:textId="77777777" w:rsidR="00EE0F0B" w:rsidRDefault="00EE0F0B">
      <w:r>
        <w:separator/>
      </w:r>
    </w:p>
  </w:endnote>
  <w:endnote w:type="continuationSeparator" w:id="0">
    <w:p w14:paraId="72D82E28" w14:textId="77777777" w:rsidR="00EE0F0B" w:rsidRDefault="00EE0F0B">
      <w:r>
        <w:continuationSeparator/>
      </w:r>
    </w:p>
  </w:endnote>
  <w:endnote w:type="continuationNotice" w:id="1">
    <w:p w14:paraId="5AD9FD97" w14:textId="77777777" w:rsidR="00EE0F0B" w:rsidRDefault="00EE0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MicrogrammaEF Extend">
    <w:altName w:val="Calibri"/>
    <w:panose1 w:val="00000000000000000000"/>
    <w:charset w:val="00"/>
    <w:family w:val="modern"/>
    <w:notTrueType/>
    <w:pitch w:val="variable"/>
    <w:sig w:usb0="80000007"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86163" w14:textId="77777777" w:rsidR="00EE0F0B" w:rsidRDefault="00EE0F0B">
      <w:r>
        <w:separator/>
      </w:r>
    </w:p>
  </w:footnote>
  <w:footnote w:type="continuationSeparator" w:id="0">
    <w:p w14:paraId="4336DB7E" w14:textId="77777777" w:rsidR="00EE0F0B" w:rsidRDefault="00EE0F0B">
      <w:r>
        <w:continuationSeparator/>
      </w:r>
    </w:p>
  </w:footnote>
  <w:footnote w:type="continuationNotice" w:id="1">
    <w:p w14:paraId="57C38879" w14:textId="77777777" w:rsidR="00EE0F0B" w:rsidRDefault="00EE0F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ADD4" w14:textId="77777777" w:rsidR="00335072" w:rsidRDefault="00335072" w:rsidP="00335072">
    <w:pPr>
      <w:pStyle w:val="Header"/>
      <w:tabs>
        <w:tab w:val="clear" w:pos="8640"/>
        <w:tab w:val="right" w:pos="9360"/>
      </w:tabs>
      <w:rPr>
        <w:rFonts w:ascii="Arial" w:hAnsi="Arial" w:cs="Arial"/>
        <w:sz w:val="22"/>
      </w:rPr>
    </w:pPr>
  </w:p>
  <w:p w14:paraId="26CD74A2" w14:textId="0F87AD74" w:rsidR="005519C1" w:rsidRPr="00335072" w:rsidRDefault="00D94392" w:rsidP="006E2994">
    <w:pPr>
      <w:pStyle w:val="Header"/>
      <w:tabs>
        <w:tab w:val="clear" w:pos="8640"/>
        <w:tab w:val="right" w:pos="9360"/>
      </w:tabs>
      <w:spacing w:before="120"/>
      <w:rPr>
        <w:rFonts w:ascii="Arial" w:hAnsi="Arial" w:cs="Arial"/>
        <w:sz w:val="22"/>
      </w:rPr>
    </w:pPr>
    <w:r>
      <w:rPr>
        <w:rFonts w:ascii="Arial" w:hAnsi="Arial" w:cs="Arial"/>
        <w:sz w:val="22"/>
      </w:rPr>
      <w:t xml:space="preserve">March </w:t>
    </w:r>
    <w:r w:rsidRPr="00D94392">
      <w:rPr>
        <w:rFonts w:ascii="Arial" w:hAnsi="Arial" w:cs="Arial"/>
        <w:sz w:val="22"/>
      </w:rPr>
      <w:t>26, 2026</w:t>
    </w:r>
    <w:r w:rsidR="005519C1" w:rsidRPr="00335072">
      <w:rPr>
        <w:rFonts w:ascii="Arial" w:hAnsi="Arial" w:cs="Arial"/>
        <w:sz w:val="22"/>
      </w:rPr>
      <w:tab/>
    </w:r>
    <w:r w:rsidR="005519C1" w:rsidRPr="00335072">
      <w:rPr>
        <w:rFonts w:ascii="Arial" w:hAnsi="Arial" w:cs="Arial"/>
        <w:sz w:val="22"/>
      </w:rPr>
      <w:tab/>
    </w:r>
  </w:p>
  <w:p w14:paraId="330043CB" w14:textId="5EB18F90" w:rsidR="005519C1" w:rsidRDefault="0063205D" w:rsidP="006E2994">
    <w:pPr>
      <w:pStyle w:val="Header"/>
      <w:pBdr>
        <w:bottom w:val="single" w:sz="12" w:space="1" w:color="auto"/>
      </w:pBdr>
      <w:tabs>
        <w:tab w:val="clear" w:pos="8640"/>
        <w:tab w:val="right" w:pos="9360"/>
      </w:tabs>
      <w:rPr>
        <w:rStyle w:val="PageNumber"/>
        <w:rFonts w:ascii="Arial" w:hAnsi="Arial" w:cs="Arial"/>
        <w:sz w:val="22"/>
      </w:rPr>
    </w:pPr>
    <w:r w:rsidRPr="00335072">
      <w:rPr>
        <w:rStyle w:val="PageNumber"/>
        <w:rFonts w:ascii="Arial" w:hAnsi="Arial" w:cs="Arial"/>
        <w:sz w:val="22"/>
      </w:rPr>
      <w:t>Item #</w:t>
    </w:r>
    <w:r w:rsidR="00335072">
      <w:rPr>
        <w:rStyle w:val="PageNumber"/>
        <w:rFonts w:ascii="Arial" w:hAnsi="Arial" w:cs="Arial"/>
        <w:sz w:val="22"/>
      </w:rPr>
      <w:t xml:space="preserve"> </w:t>
    </w:r>
    <w:r w:rsidR="00D94392">
      <w:rPr>
        <w:rStyle w:val="PageNumber"/>
        <w:rFonts w:ascii="Arial" w:hAnsi="Arial" w:cs="Arial"/>
        <w:sz w:val="22"/>
      </w:rPr>
      <w:t>6</w:t>
    </w:r>
    <w:r w:rsidR="005519C1" w:rsidRPr="00335072">
      <w:rPr>
        <w:rStyle w:val="PageNumber"/>
        <w:rFonts w:ascii="Arial" w:hAnsi="Arial" w:cs="Arial"/>
        <w:sz w:val="22"/>
      </w:rPr>
      <w:tab/>
    </w:r>
    <w:r w:rsidR="005519C1" w:rsidRPr="00335072">
      <w:rPr>
        <w:rStyle w:val="PageNumber"/>
        <w:rFonts w:ascii="Arial" w:hAnsi="Arial" w:cs="Arial"/>
        <w:sz w:val="22"/>
      </w:rPr>
      <w:tab/>
      <w:t xml:space="preserve">Page </w:t>
    </w:r>
    <w:r w:rsidR="005519C1" w:rsidRPr="00335072">
      <w:rPr>
        <w:rStyle w:val="PageNumber"/>
        <w:rFonts w:ascii="Arial" w:hAnsi="Arial" w:cs="Arial"/>
        <w:sz w:val="22"/>
      </w:rPr>
      <w:fldChar w:fldCharType="begin"/>
    </w:r>
    <w:r w:rsidR="005519C1" w:rsidRPr="00335072">
      <w:rPr>
        <w:rStyle w:val="PageNumber"/>
        <w:rFonts w:ascii="Arial" w:hAnsi="Arial" w:cs="Arial"/>
        <w:sz w:val="22"/>
      </w:rPr>
      <w:instrText xml:space="preserve"> PAGE </w:instrText>
    </w:r>
    <w:r w:rsidR="005519C1" w:rsidRPr="00335072">
      <w:rPr>
        <w:rStyle w:val="PageNumber"/>
        <w:rFonts w:ascii="Arial" w:hAnsi="Arial" w:cs="Arial"/>
        <w:sz w:val="22"/>
      </w:rPr>
      <w:fldChar w:fldCharType="separate"/>
    </w:r>
    <w:r w:rsidR="00836F09">
      <w:rPr>
        <w:rStyle w:val="PageNumber"/>
        <w:rFonts w:ascii="Arial" w:hAnsi="Arial" w:cs="Arial"/>
        <w:noProof/>
        <w:sz w:val="22"/>
      </w:rPr>
      <w:t>2</w:t>
    </w:r>
    <w:r w:rsidR="005519C1" w:rsidRPr="00335072">
      <w:rPr>
        <w:rStyle w:val="PageNumber"/>
        <w:rFonts w:ascii="Arial" w:hAnsi="Arial" w:cs="Arial"/>
        <w:sz w:val="22"/>
      </w:rPr>
      <w:fldChar w:fldCharType="end"/>
    </w:r>
  </w:p>
  <w:p w14:paraId="2C358D87" w14:textId="77777777" w:rsidR="00335072" w:rsidRPr="00335072" w:rsidRDefault="00335072" w:rsidP="006E2994">
    <w:pPr>
      <w:pStyle w:val="Header"/>
      <w:pBdr>
        <w:bottom w:val="single" w:sz="12" w:space="1" w:color="auto"/>
      </w:pBdr>
      <w:tabs>
        <w:tab w:val="clear" w:pos="8640"/>
        <w:tab w:val="right" w:pos="9360"/>
      </w:tabs>
      <w:rPr>
        <w:rStyle w:val="PageNumber"/>
        <w:rFonts w:ascii="Arial" w:hAnsi="Arial" w:cs="Arial"/>
        <w:sz w:val="6"/>
        <w:szCs w:val="6"/>
      </w:rPr>
    </w:pPr>
  </w:p>
  <w:p w14:paraId="1D833229" w14:textId="77777777" w:rsidR="00335072" w:rsidRPr="006E2994" w:rsidRDefault="00335072" w:rsidP="006E2994">
    <w:pPr>
      <w:pStyle w:val="Header"/>
      <w:tabs>
        <w:tab w:val="clear" w:pos="8640"/>
        <w:tab w:val="right" w:pos="936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EF51" w14:textId="77777777" w:rsidR="00197587" w:rsidRDefault="00197587" w:rsidP="00197587">
    <w:pPr>
      <w:pStyle w:val="Header"/>
      <w:ind w:right="-720"/>
      <w:jc w:val="right"/>
    </w:pPr>
    <w:r>
      <w:t xml:space="preserve">    </w:t>
    </w:r>
    <w:r w:rsidRPr="00254013">
      <w:rPr>
        <w:rFonts w:ascii="MicrogrammaEF Extend" w:hAnsi="MicrogrammaEF Extend"/>
        <w:color w:val="215868" w:themeColor="accent5" w:themeShade="80"/>
        <w:sz w:val="132"/>
        <w:szCs w:val="132"/>
      </w:rPr>
      <w:t>ITOC</w:t>
    </w:r>
    <w:r w:rsidRPr="001826D7">
      <w:rPr>
        <w:rFonts w:ascii="MicrogrammaEF Extend" w:hAnsi="MicrogrammaEF Extend"/>
        <w:sz w:val="72"/>
        <w:szCs w:val="132"/>
      </w:rPr>
      <w:t xml:space="preserve"> </w:t>
    </w:r>
    <w:r>
      <w:rPr>
        <w:noProof/>
      </w:rPr>
      <w:drawing>
        <wp:inline distT="0" distB="0" distL="0" distR="0" wp14:anchorId="2AABBE35" wp14:editId="19ACD18C">
          <wp:extent cx="584200" cy="584200"/>
          <wp:effectExtent l="0" t="0" r="6350" b="6350"/>
          <wp:docPr id="45"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inline>
      </w:drawing>
    </w:r>
  </w:p>
  <w:p w14:paraId="164581C7" w14:textId="676EA488" w:rsidR="005519C1" w:rsidRDefault="005519C1" w:rsidP="00497FB6">
    <w:pPr>
      <w:pStyle w:val="Header"/>
      <w:ind w:left="-1260" w:right="-12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2066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756C55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AF669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4E607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D675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CAB53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160B4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1069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D8A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4CA3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4F85BF2"/>
    <w:lvl w:ilvl="0">
      <w:numFmt w:val="bullet"/>
      <w:lvlText w:val="*"/>
      <w:lvlJc w:val="left"/>
    </w:lvl>
  </w:abstractNum>
  <w:abstractNum w:abstractNumId="11" w15:restartNumberingAfterBreak="0">
    <w:nsid w:val="01E322BA"/>
    <w:multiLevelType w:val="hybridMultilevel"/>
    <w:tmpl w:val="0A5E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102589"/>
    <w:multiLevelType w:val="hybridMultilevel"/>
    <w:tmpl w:val="6C685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467AE1"/>
    <w:multiLevelType w:val="hybridMultilevel"/>
    <w:tmpl w:val="A08A56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2D78B6"/>
    <w:multiLevelType w:val="hybridMultilevel"/>
    <w:tmpl w:val="7E1428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3B4459"/>
    <w:multiLevelType w:val="hybridMultilevel"/>
    <w:tmpl w:val="A294A25A"/>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7A48EB"/>
    <w:multiLevelType w:val="hybridMultilevel"/>
    <w:tmpl w:val="4F20E49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0CB41015"/>
    <w:multiLevelType w:val="hybridMultilevel"/>
    <w:tmpl w:val="60DC3DC4"/>
    <w:lvl w:ilvl="0" w:tplc="347C005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025014A"/>
    <w:multiLevelType w:val="hybridMultilevel"/>
    <w:tmpl w:val="249CB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944782E"/>
    <w:multiLevelType w:val="hybridMultilevel"/>
    <w:tmpl w:val="B66023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05A4731"/>
    <w:multiLevelType w:val="hybridMultilevel"/>
    <w:tmpl w:val="F238E3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8D3E0F"/>
    <w:multiLevelType w:val="hybridMultilevel"/>
    <w:tmpl w:val="20AA85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C903E16"/>
    <w:multiLevelType w:val="hybridMultilevel"/>
    <w:tmpl w:val="2AAA037A"/>
    <w:lvl w:ilvl="0" w:tplc="347C00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285573"/>
    <w:multiLevelType w:val="hybridMultilevel"/>
    <w:tmpl w:val="CAB8AC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37A0150"/>
    <w:multiLevelType w:val="multilevel"/>
    <w:tmpl w:val="2AAA03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5E3992"/>
    <w:multiLevelType w:val="hybridMultilevel"/>
    <w:tmpl w:val="B8A40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7C3933"/>
    <w:multiLevelType w:val="hybridMultilevel"/>
    <w:tmpl w:val="34E2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95367F"/>
    <w:multiLevelType w:val="hybridMultilevel"/>
    <w:tmpl w:val="E7C4EA5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E075D41"/>
    <w:multiLevelType w:val="hybridMultilevel"/>
    <w:tmpl w:val="53AC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F46932"/>
    <w:multiLevelType w:val="multilevel"/>
    <w:tmpl w:val="60DC3DC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FA72DB4"/>
    <w:multiLevelType w:val="hybridMultilevel"/>
    <w:tmpl w:val="3C7E28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D7209D"/>
    <w:multiLevelType w:val="hybridMultilevel"/>
    <w:tmpl w:val="45DA24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A137E0D"/>
    <w:multiLevelType w:val="hybridMultilevel"/>
    <w:tmpl w:val="B1D0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3561E6"/>
    <w:multiLevelType w:val="hybridMultilevel"/>
    <w:tmpl w:val="019862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CF0347"/>
    <w:multiLevelType w:val="hybridMultilevel"/>
    <w:tmpl w:val="BD785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2735C56"/>
    <w:multiLevelType w:val="hybridMultilevel"/>
    <w:tmpl w:val="2BBC41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66D6A42"/>
    <w:multiLevelType w:val="hybridMultilevel"/>
    <w:tmpl w:val="80F6D2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9E0645"/>
    <w:multiLevelType w:val="hybridMultilevel"/>
    <w:tmpl w:val="4F0CF8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126D71"/>
    <w:multiLevelType w:val="hybridMultilevel"/>
    <w:tmpl w:val="3718FE12"/>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72528F"/>
    <w:multiLevelType w:val="hybridMultilevel"/>
    <w:tmpl w:val="135C15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BB3590"/>
    <w:multiLevelType w:val="hybridMultilevel"/>
    <w:tmpl w:val="0B80B1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925162"/>
    <w:multiLevelType w:val="hybridMultilevel"/>
    <w:tmpl w:val="E81C420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2D76CF8"/>
    <w:multiLevelType w:val="hybridMultilevel"/>
    <w:tmpl w:val="8F923A3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C211A2"/>
    <w:multiLevelType w:val="hybridMultilevel"/>
    <w:tmpl w:val="DF1274C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591A7E"/>
    <w:multiLevelType w:val="hybridMultilevel"/>
    <w:tmpl w:val="104EC4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622E73"/>
    <w:multiLevelType w:val="hybridMultilevel"/>
    <w:tmpl w:val="387692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7261890">
    <w:abstractNumId w:val="9"/>
  </w:num>
  <w:num w:numId="2" w16cid:durableId="1200125240">
    <w:abstractNumId w:val="7"/>
  </w:num>
  <w:num w:numId="3" w16cid:durableId="10648668">
    <w:abstractNumId w:val="6"/>
  </w:num>
  <w:num w:numId="4" w16cid:durableId="1068963659">
    <w:abstractNumId w:val="5"/>
  </w:num>
  <w:num w:numId="5" w16cid:durableId="1201354953">
    <w:abstractNumId w:val="4"/>
  </w:num>
  <w:num w:numId="6" w16cid:durableId="592861707">
    <w:abstractNumId w:val="8"/>
  </w:num>
  <w:num w:numId="7" w16cid:durableId="1864201469">
    <w:abstractNumId w:val="3"/>
  </w:num>
  <w:num w:numId="8" w16cid:durableId="1831099686">
    <w:abstractNumId w:val="2"/>
  </w:num>
  <w:num w:numId="9" w16cid:durableId="991787785">
    <w:abstractNumId w:val="1"/>
  </w:num>
  <w:num w:numId="10" w16cid:durableId="592860838">
    <w:abstractNumId w:val="0"/>
  </w:num>
  <w:num w:numId="11" w16cid:durableId="778764747">
    <w:abstractNumId w:val="10"/>
    <w:lvlOverride w:ilvl="0">
      <w:lvl w:ilvl="0">
        <w:start w:val="1"/>
        <w:numFmt w:val="bullet"/>
        <w:lvlText w:val=""/>
        <w:legacy w:legacy="1" w:legacySpace="0" w:legacyIndent="360"/>
        <w:lvlJc w:val="left"/>
        <w:pPr>
          <w:ind w:left="1368" w:hanging="360"/>
        </w:pPr>
        <w:rPr>
          <w:rFonts w:ascii="Symbol" w:hAnsi="Symbol" w:hint="default"/>
        </w:rPr>
      </w:lvl>
    </w:lvlOverride>
  </w:num>
  <w:num w:numId="12" w16cid:durableId="581529855">
    <w:abstractNumId w:val="15"/>
  </w:num>
  <w:num w:numId="13" w16cid:durableId="1294482679">
    <w:abstractNumId w:val="21"/>
  </w:num>
  <w:num w:numId="14" w16cid:durableId="1821842824">
    <w:abstractNumId w:val="18"/>
  </w:num>
  <w:num w:numId="15" w16cid:durableId="1854372543">
    <w:abstractNumId w:val="13"/>
  </w:num>
  <w:num w:numId="16" w16cid:durableId="1522163793">
    <w:abstractNumId w:val="38"/>
  </w:num>
  <w:num w:numId="17" w16cid:durableId="793525297">
    <w:abstractNumId w:val="36"/>
  </w:num>
  <w:num w:numId="18" w16cid:durableId="772936722">
    <w:abstractNumId w:val="30"/>
  </w:num>
  <w:num w:numId="19" w16cid:durableId="1716807231">
    <w:abstractNumId w:val="39"/>
  </w:num>
  <w:num w:numId="20" w16cid:durableId="1251113950">
    <w:abstractNumId w:val="40"/>
  </w:num>
  <w:num w:numId="21" w16cid:durableId="464393433">
    <w:abstractNumId w:val="16"/>
  </w:num>
  <w:num w:numId="22" w16cid:durableId="717705725">
    <w:abstractNumId w:val="37"/>
  </w:num>
  <w:num w:numId="23" w16cid:durableId="595527888">
    <w:abstractNumId w:val="44"/>
  </w:num>
  <w:num w:numId="24" w16cid:durableId="1515727644">
    <w:abstractNumId w:val="27"/>
  </w:num>
  <w:num w:numId="25" w16cid:durableId="1052509012">
    <w:abstractNumId w:val="35"/>
  </w:num>
  <w:num w:numId="26" w16cid:durableId="1595478184">
    <w:abstractNumId w:val="43"/>
  </w:num>
  <w:num w:numId="27" w16cid:durableId="1245994790">
    <w:abstractNumId w:val="42"/>
  </w:num>
  <w:num w:numId="28" w16cid:durableId="872183922">
    <w:abstractNumId w:val="23"/>
  </w:num>
  <w:num w:numId="29" w16cid:durableId="1135220997">
    <w:abstractNumId w:val="33"/>
  </w:num>
  <w:num w:numId="30" w16cid:durableId="1850944357">
    <w:abstractNumId w:val="45"/>
  </w:num>
  <w:num w:numId="31" w16cid:durableId="676420534">
    <w:abstractNumId w:val="20"/>
  </w:num>
  <w:num w:numId="32" w16cid:durableId="1518036450">
    <w:abstractNumId w:val="25"/>
  </w:num>
  <w:num w:numId="33" w16cid:durableId="527647016">
    <w:abstractNumId w:val="19"/>
  </w:num>
  <w:num w:numId="34" w16cid:durableId="104036314">
    <w:abstractNumId w:val="22"/>
  </w:num>
  <w:num w:numId="35" w16cid:durableId="1616210581">
    <w:abstractNumId w:val="24"/>
  </w:num>
  <w:num w:numId="36" w16cid:durableId="1604802080">
    <w:abstractNumId w:val="14"/>
  </w:num>
  <w:num w:numId="37" w16cid:durableId="479731227">
    <w:abstractNumId w:val="17"/>
  </w:num>
  <w:num w:numId="38" w16cid:durableId="1778520875">
    <w:abstractNumId w:val="29"/>
  </w:num>
  <w:num w:numId="39" w16cid:durableId="959798174">
    <w:abstractNumId w:val="41"/>
  </w:num>
  <w:num w:numId="40" w16cid:durableId="1123577010">
    <w:abstractNumId w:val="12"/>
  </w:num>
  <w:num w:numId="41" w16cid:durableId="1588733093">
    <w:abstractNumId w:val="31"/>
  </w:num>
  <w:num w:numId="42" w16cid:durableId="984163677">
    <w:abstractNumId w:val="34"/>
  </w:num>
  <w:num w:numId="43" w16cid:durableId="505364942">
    <w:abstractNumId w:val="11"/>
  </w:num>
  <w:num w:numId="44" w16cid:durableId="2013529471">
    <w:abstractNumId w:val="26"/>
  </w:num>
  <w:num w:numId="45" w16cid:durableId="1642727631">
    <w:abstractNumId w:val="32"/>
  </w:num>
  <w:num w:numId="46" w16cid:durableId="7372869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FB6"/>
    <w:rsid w:val="000006E2"/>
    <w:rsid w:val="00002C09"/>
    <w:rsid w:val="000038EC"/>
    <w:rsid w:val="00006D2A"/>
    <w:rsid w:val="000101F2"/>
    <w:rsid w:val="0001152B"/>
    <w:rsid w:val="00015971"/>
    <w:rsid w:val="00017305"/>
    <w:rsid w:val="0002642E"/>
    <w:rsid w:val="00033B27"/>
    <w:rsid w:val="00036F54"/>
    <w:rsid w:val="00037411"/>
    <w:rsid w:val="000436B1"/>
    <w:rsid w:val="0006524D"/>
    <w:rsid w:val="00067125"/>
    <w:rsid w:val="0007095B"/>
    <w:rsid w:val="000720F9"/>
    <w:rsid w:val="00081853"/>
    <w:rsid w:val="000878C8"/>
    <w:rsid w:val="000967D8"/>
    <w:rsid w:val="0009692F"/>
    <w:rsid w:val="000A47F2"/>
    <w:rsid w:val="000B0DE1"/>
    <w:rsid w:val="000B27F1"/>
    <w:rsid w:val="000C1C3B"/>
    <w:rsid w:val="000C3AB5"/>
    <w:rsid w:val="000C3D9C"/>
    <w:rsid w:val="000C67BE"/>
    <w:rsid w:val="000D0F09"/>
    <w:rsid w:val="000D2070"/>
    <w:rsid w:val="000D2C92"/>
    <w:rsid w:val="000D2D95"/>
    <w:rsid w:val="000D7EF1"/>
    <w:rsid w:val="000F3327"/>
    <w:rsid w:val="000F509E"/>
    <w:rsid w:val="00102C62"/>
    <w:rsid w:val="00110B39"/>
    <w:rsid w:val="0013172E"/>
    <w:rsid w:val="00141D32"/>
    <w:rsid w:val="00142A92"/>
    <w:rsid w:val="00143C4F"/>
    <w:rsid w:val="00143E08"/>
    <w:rsid w:val="00147A5E"/>
    <w:rsid w:val="001502A3"/>
    <w:rsid w:val="001522BA"/>
    <w:rsid w:val="001544ED"/>
    <w:rsid w:val="00161E2E"/>
    <w:rsid w:val="00163E5E"/>
    <w:rsid w:val="0016483B"/>
    <w:rsid w:val="00173A42"/>
    <w:rsid w:val="001745D6"/>
    <w:rsid w:val="00197587"/>
    <w:rsid w:val="001C4361"/>
    <w:rsid w:val="001D02CC"/>
    <w:rsid w:val="001D25ED"/>
    <w:rsid w:val="001D521D"/>
    <w:rsid w:val="001D57B0"/>
    <w:rsid w:val="001E15A5"/>
    <w:rsid w:val="001E74BA"/>
    <w:rsid w:val="001F2255"/>
    <w:rsid w:val="001F4C80"/>
    <w:rsid w:val="001F590B"/>
    <w:rsid w:val="001F5E10"/>
    <w:rsid w:val="001F70A5"/>
    <w:rsid w:val="001F720E"/>
    <w:rsid w:val="002053AC"/>
    <w:rsid w:val="00205CF3"/>
    <w:rsid w:val="00206960"/>
    <w:rsid w:val="00207752"/>
    <w:rsid w:val="0021662E"/>
    <w:rsid w:val="00216844"/>
    <w:rsid w:val="00223855"/>
    <w:rsid w:val="00223DA2"/>
    <w:rsid w:val="0022558E"/>
    <w:rsid w:val="0023310F"/>
    <w:rsid w:val="002444CE"/>
    <w:rsid w:val="002472B5"/>
    <w:rsid w:val="002648DD"/>
    <w:rsid w:val="00270C81"/>
    <w:rsid w:val="00274428"/>
    <w:rsid w:val="00276EA4"/>
    <w:rsid w:val="00282B99"/>
    <w:rsid w:val="00295FCF"/>
    <w:rsid w:val="002A08E7"/>
    <w:rsid w:val="002A0D3B"/>
    <w:rsid w:val="002A2C8F"/>
    <w:rsid w:val="002A4052"/>
    <w:rsid w:val="002A6208"/>
    <w:rsid w:val="002A64AC"/>
    <w:rsid w:val="002C2FCC"/>
    <w:rsid w:val="002C371E"/>
    <w:rsid w:val="002C597A"/>
    <w:rsid w:val="002C77F4"/>
    <w:rsid w:val="002D03BE"/>
    <w:rsid w:val="002D1678"/>
    <w:rsid w:val="002D4AFE"/>
    <w:rsid w:val="002D6FDC"/>
    <w:rsid w:val="002E6359"/>
    <w:rsid w:val="002E7452"/>
    <w:rsid w:val="00302A41"/>
    <w:rsid w:val="00313842"/>
    <w:rsid w:val="00314A8C"/>
    <w:rsid w:val="003223BF"/>
    <w:rsid w:val="003224EC"/>
    <w:rsid w:val="0032617E"/>
    <w:rsid w:val="00326462"/>
    <w:rsid w:val="00327E34"/>
    <w:rsid w:val="00333EAA"/>
    <w:rsid w:val="00335072"/>
    <w:rsid w:val="00337749"/>
    <w:rsid w:val="00340741"/>
    <w:rsid w:val="00341E7D"/>
    <w:rsid w:val="0034536E"/>
    <w:rsid w:val="00351AAE"/>
    <w:rsid w:val="003523C4"/>
    <w:rsid w:val="00356051"/>
    <w:rsid w:val="00362EA5"/>
    <w:rsid w:val="00364236"/>
    <w:rsid w:val="003743D1"/>
    <w:rsid w:val="003767EC"/>
    <w:rsid w:val="00377D46"/>
    <w:rsid w:val="003857C6"/>
    <w:rsid w:val="00385ACB"/>
    <w:rsid w:val="0038795B"/>
    <w:rsid w:val="00393B1B"/>
    <w:rsid w:val="003A0AF7"/>
    <w:rsid w:val="003A255F"/>
    <w:rsid w:val="003B002D"/>
    <w:rsid w:val="003B0DA4"/>
    <w:rsid w:val="003B0FC7"/>
    <w:rsid w:val="003B733A"/>
    <w:rsid w:val="003D496C"/>
    <w:rsid w:val="003D525A"/>
    <w:rsid w:val="003D6565"/>
    <w:rsid w:val="003E1E6D"/>
    <w:rsid w:val="003E34CA"/>
    <w:rsid w:val="003E59DC"/>
    <w:rsid w:val="003E7FED"/>
    <w:rsid w:val="003F1435"/>
    <w:rsid w:val="004008F1"/>
    <w:rsid w:val="004219A6"/>
    <w:rsid w:val="004235F5"/>
    <w:rsid w:val="00431F0A"/>
    <w:rsid w:val="004406C5"/>
    <w:rsid w:val="0044440E"/>
    <w:rsid w:val="00455A08"/>
    <w:rsid w:val="0045640F"/>
    <w:rsid w:val="00456A92"/>
    <w:rsid w:val="00461431"/>
    <w:rsid w:val="00461CC1"/>
    <w:rsid w:val="00472B24"/>
    <w:rsid w:val="00472E2F"/>
    <w:rsid w:val="00484426"/>
    <w:rsid w:val="00485C4D"/>
    <w:rsid w:val="00490282"/>
    <w:rsid w:val="0049269D"/>
    <w:rsid w:val="004942E3"/>
    <w:rsid w:val="00494837"/>
    <w:rsid w:val="00497FB6"/>
    <w:rsid w:val="004A41A2"/>
    <w:rsid w:val="004B5DB4"/>
    <w:rsid w:val="004C672A"/>
    <w:rsid w:val="004C7824"/>
    <w:rsid w:val="004D35EC"/>
    <w:rsid w:val="004E1D2A"/>
    <w:rsid w:val="004E329E"/>
    <w:rsid w:val="004E42D5"/>
    <w:rsid w:val="004E7393"/>
    <w:rsid w:val="004F172D"/>
    <w:rsid w:val="004F1A94"/>
    <w:rsid w:val="004F1B0A"/>
    <w:rsid w:val="004F3058"/>
    <w:rsid w:val="004F68FD"/>
    <w:rsid w:val="004F7F30"/>
    <w:rsid w:val="0050134F"/>
    <w:rsid w:val="00514476"/>
    <w:rsid w:val="005226FE"/>
    <w:rsid w:val="005357EE"/>
    <w:rsid w:val="005361BA"/>
    <w:rsid w:val="00536983"/>
    <w:rsid w:val="0054285A"/>
    <w:rsid w:val="00545C98"/>
    <w:rsid w:val="005519C1"/>
    <w:rsid w:val="00561577"/>
    <w:rsid w:val="00563044"/>
    <w:rsid w:val="005635FB"/>
    <w:rsid w:val="00566909"/>
    <w:rsid w:val="0056776F"/>
    <w:rsid w:val="00570236"/>
    <w:rsid w:val="005715CA"/>
    <w:rsid w:val="00573FB7"/>
    <w:rsid w:val="00577104"/>
    <w:rsid w:val="005833D6"/>
    <w:rsid w:val="0058531B"/>
    <w:rsid w:val="00586DB7"/>
    <w:rsid w:val="005879CE"/>
    <w:rsid w:val="005901BC"/>
    <w:rsid w:val="005907FA"/>
    <w:rsid w:val="005A00EF"/>
    <w:rsid w:val="005A1A12"/>
    <w:rsid w:val="005A7713"/>
    <w:rsid w:val="005B1563"/>
    <w:rsid w:val="005C1870"/>
    <w:rsid w:val="005C2621"/>
    <w:rsid w:val="005D1D09"/>
    <w:rsid w:val="005D445F"/>
    <w:rsid w:val="005E4C84"/>
    <w:rsid w:val="005F1E7A"/>
    <w:rsid w:val="005F607A"/>
    <w:rsid w:val="005F64CB"/>
    <w:rsid w:val="005F6546"/>
    <w:rsid w:val="00600157"/>
    <w:rsid w:val="00613449"/>
    <w:rsid w:val="00625B23"/>
    <w:rsid w:val="00626F52"/>
    <w:rsid w:val="00627E13"/>
    <w:rsid w:val="0063205D"/>
    <w:rsid w:val="00640019"/>
    <w:rsid w:val="00641F22"/>
    <w:rsid w:val="00643E24"/>
    <w:rsid w:val="00646D60"/>
    <w:rsid w:val="006502F5"/>
    <w:rsid w:val="0065041B"/>
    <w:rsid w:val="00653504"/>
    <w:rsid w:val="00653510"/>
    <w:rsid w:val="0065691C"/>
    <w:rsid w:val="006634AD"/>
    <w:rsid w:val="0067291C"/>
    <w:rsid w:val="00693C9F"/>
    <w:rsid w:val="00697404"/>
    <w:rsid w:val="006A063D"/>
    <w:rsid w:val="006A35BB"/>
    <w:rsid w:val="006A4439"/>
    <w:rsid w:val="006A5454"/>
    <w:rsid w:val="006B51EE"/>
    <w:rsid w:val="006C0B48"/>
    <w:rsid w:val="006C64FE"/>
    <w:rsid w:val="006D646C"/>
    <w:rsid w:val="006E2994"/>
    <w:rsid w:val="006E3EB4"/>
    <w:rsid w:val="006E71B4"/>
    <w:rsid w:val="006E7EC2"/>
    <w:rsid w:val="006F24E1"/>
    <w:rsid w:val="006F2880"/>
    <w:rsid w:val="007030E9"/>
    <w:rsid w:val="00705792"/>
    <w:rsid w:val="007059BD"/>
    <w:rsid w:val="00706CCA"/>
    <w:rsid w:val="00706EC0"/>
    <w:rsid w:val="00730C40"/>
    <w:rsid w:val="00732F27"/>
    <w:rsid w:val="00736E8D"/>
    <w:rsid w:val="007378A7"/>
    <w:rsid w:val="007422CD"/>
    <w:rsid w:val="00744137"/>
    <w:rsid w:val="0074478B"/>
    <w:rsid w:val="00745DD0"/>
    <w:rsid w:val="00750592"/>
    <w:rsid w:val="00755A2B"/>
    <w:rsid w:val="007642E8"/>
    <w:rsid w:val="00770206"/>
    <w:rsid w:val="00780639"/>
    <w:rsid w:val="00781E0C"/>
    <w:rsid w:val="007835BD"/>
    <w:rsid w:val="007857E0"/>
    <w:rsid w:val="0078710C"/>
    <w:rsid w:val="00794980"/>
    <w:rsid w:val="007A3845"/>
    <w:rsid w:val="007B0086"/>
    <w:rsid w:val="007B252B"/>
    <w:rsid w:val="007B4F11"/>
    <w:rsid w:val="007C070B"/>
    <w:rsid w:val="007C2091"/>
    <w:rsid w:val="007C4A88"/>
    <w:rsid w:val="007D3D0A"/>
    <w:rsid w:val="007E46E5"/>
    <w:rsid w:val="007E4FE5"/>
    <w:rsid w:val="007E7F4A"/>
    <w:rsid w:val="007F616A"/>
    <w:rsid w:val="007F66A8"/>
    <w:rsid w:val="007F6F13"/>
    <w:rsid w:val="00804D70"/>
    <w:rsid w:val="00822BE8"/>
    <w:rsid w:val="008255AB"/>
    <w:rsid w:val="008359B2"/>
    <w:rsid w:val="00835DD8"/>
    <w:rsid w:val="00836F09"/>
    <w:rsid w:val="008375FF"/>
    <w:rsid w:val="0084208B"/>
    <w:rsid w:val="008516F6"/>
    <w:rsid w:val="00854BF8"/>
    <w:rsid w:val="0085721F"/>
    <w:rsid w:val="00877EA6"/>
    <w:rsid w:val="008812CF"/>
    <w:rsid w:val="008909AA"/>
    <w:rsid w:val="008A02A9"/>
    <w:rsid w:val="008A5F32"/>
    <w:rsid w:val="008A7C4C"/>
    <w:rsid w:val="008B3B31"/>
    <w:rsid w:val="008B6038"/>
    <w:rsid w:val="008C15B7"/>
    <w:rsid w:val="008C5BD7"/>
    <w:rsid w:val="008D3FE9"/>
    <w:rsid w:val="008F73CD"/>
    <w:rsid w:val="0091355A"/>
    <w:rsid w:val="00920108"/>
    <w:rsid w:val="00931254"/>
    <w:rsid w:val="009330F9"/>
    <w:rsid w:val="00934701"/>
    <w:rsid w:val="00934B5A"/>
    <w:rsid w:val="00934CE5"/>
    <w:rsid w:val="00942BC7"/>
    <w:rsid w:val="00944D95"/>
    <w:rsid w:val="00955190"/>
    <w:rsid w:val="00956E02"/>
    <w:rsid w:val="00960176"/>
    <w:rsid w:val="0096034B"/>
    <w:rsid w:val="009727CD"/>
    <w:rsid w:val="009750DA"/>
    <w:rsid w:val="009813C0"/>
    <w:rsid w:val="00981F8E"/>
    <w:rsid w:val="0098789B"/>
    <w:rsid w:val="00991BEB"/>
    <w:rsid w:val="00992AD7"/>
    <w:rsid w:val="00996EDB"/>
    <w:rsid w:val="009A44D2"/>
    <w:rsid w:val="009A7262"/>
    <w:rsid w:val="009B1F0F"/>
    <w:rsid w:val="009B36D8"/>
    <w:rsid w:val="009B7B23"/>
    <w:rsid w:val="009C0605"/>
    <w:rsid w:val="009C0FD7"/>
    <w:rsid w:val="009C1DFD"/>
    <w:rsid w:val="009C6322"/>
    <w:rsid w:val="009D0176"/>
    <w:rsid w:val="009D44B4"/>
    <w:rsid w:val="009E0AEB"/>
    <w:rsid w:val="009E5DBC"/>
    <w:rsid w:val="009F0198"/>
    <w:rsid w:val="009F14BD"/>
    <w:rsid w:val="00A027B2"/>
    <w:rsid w:val="00A061F5"/>
    <w:rsid w:val="00A11D41"/>
    <w:rsid w:val="00A15FFA"/>
    <w:rsid w:val="00A2102A"/>
    <w:rsid w:val="00A21334"/>
    <w:rsid w:val="00A225D9"/>
    <w:rsid w:val="00A22FFD"/>
    <w:rsid w:val="00A2338E"/>
    <w:rsid w:val="00A23AB6"/>
    <w:rsid w:val="00A2747B"/>
    <w:rsid w:val="00A31593"/>
    <w:rsid w:val="00A372C9"/>
    <w:rsid w:val="00A402AE"/>
    <w:rsid w:val="00A411A2"/>
    <w:rsid w:val="00A42BE6"/>
    <w:rsid w:val="00A4373A"/>
    <w:rsid w:val="00A44CFC"/>
    <w:rsid w:val="00A45271"/>
    <w:rsid w:val="00A4579A"/>
    <w:rsid w:val="00A53558"/>
    <w:rsid w:val="00A538A2"/>
    <w:rsid w:val="00A64C3E"/>
    <w:rsid w:val="00A71096"/>
    <w:rsid w:val="00A71B1B"/>
    <w:rsid w:val="00A74B15"/>
    <w:rsid w:val="00A77CE2"/>
    <w:rsid w:val="00A8456F"/>
    <w:rsid w:val="00A91502"/>
    <w:rsid w:val="00A92509"/>
    <w:rsid w:val="00A92F84"/>
    <w:rsid w:val="00A957A5"/>
    <w:rsid w:val="00AA569B"/>
    <w:rsid w:val="00AB37F4"/>
    <w:rsid w:val="00AB7175"/>
    <w:rsid w:val="00AC3773"/>
    <w:rsid w:val="00AC3B42"/>
    <w:rsid w:val="00AC54BA"/>
    <w:rsid w:val="00AD4642"/>
    <w:rsid w:val="00AF796B"/>
    <w:rsid w:val="00B027DF"/>
    <w:rsid w:val="00B03392"/>
    <w:rsid w:val="00B053A9"/>
    <w:rsid w:val="00B06133"/>
    <w:rsid w:val="00B071A8"/>
    <w:rsid w:val="00B072E5"/>
    <w:rsid w:val="00B108B0"/>
    <w:rsid w:val="00B11061"/>
    <w:rsid w:val="00B12BE1"/>
    <w:rsid w:val="00B2279B"/>
    <w:rsid w:val="00B23B64"/>
    <w:rsid w:val="00B24B7F"/>
    <w:rsid w:val="00B27918"/>
    <w:rsid w:val="00B37CF4"/>
    <w:rsid w:val="00B43924"/>
    <w:rsid w:val="00B4777C"/>
    <w:rsid w:val="00B548FF"/>
    <w:rsid w:val="00B55038"/>
    <w:rsid w:val="00B55E04"/>
    <w:rsid w:val="00B6397F"/>
    <w:rsid w:val="00B6563A"/>
    <w:rsid w:val="00B713F8"/>
    <w:rsid w:val="00B73165"/>
    <w:rsid w:val="00B737F0"/>
    <w:rsid w:val="00B80D10"/>
    <w:rsid w:val="00B874AD"/>
    <w:rsid w:val="00B9192B"/>
    <w:rsid w:val="00B93A14"/>
    <w:rsid w:val="00B96063"/>
    <w:rsid w:val="00BA08C2"/>
    <w:rsid w:val="00BA229C"/>
    <w:rsid w:val="00BB00B1"/>
    <w:rsid w:val="00BB60CE"/>
    <w:rsid w:val="00BB69CA"/>
    <w:rsid w:val="00BB70CB"/>
    <w:rsid w:val="00BC2282"/>
    <w:rsid w:val="00BC4424"/>
    <w:rsid w:val="00BC4F35"/>
    <w:rsid w:val="00BD2816"/>
    <w:rsid w:val="00BD638B"/>
    <w:rsid w:val="00BE055E"/>
    <w:rsid w:val="00BF4B04"/>
    <w:rsid w:val="00C038AB"/>
    <w:rsid w:val="00C10C57"/>
    <w:rsid w:val="00C13F54"/>
    <w:rsid w:val="00C1436E"/>
    <w:rsid w:val="00C14497"/>
    <w:rsid w:val="00C17D25"/>
    <w:rsid w:val="00C20340"/>
    <w:rsid w:val="00C22AC6"/>
    <w:rsid w:val="00C24B3C"/>
    <w:rsid w:val="00C32516"/>
    <w:rsid w:val="00C35F76"/>
    <w:rsid w:val="00C3662F"/>
    <w:rsid w:val="00C37064"/>
    <w:rsid w:val="00C400F7"/>
    <w:rsid w:val="00C41C66"/>
    <w:rsid w:val="00C44B29"/>
    <w:rsid w:val="00C50661"/>
    <w:rsid w:val="00C52F07"/>
    <w:rsid w:val="00C5553A"/>
    <w:rsid w:val="00C55FA4"/>
    <w:rsid w:val="00C5600C"/>
    <w:rsid w:val="00C63467"/>
    <w:rsid w:val="00C6438A"/>
    <w:rsid w:val="00C72870"/>
    <w:rsid w:val="00C75924"/>
    <w:rsid w:val="00C8198B"/>
    <w:rsid w:val="00C82947"/>
    <w:rsid w:val="00C868BA"/>
    <w:rsid w:val="00C90470"/>
    <w:rsid w:val="00C924CE"/>
    <w:rsid w:val="00C95C21"/>
    <w:rsid w:val="00C97851"/>
    <w:rsid w:val="00CA0519"/>
    <w:rsid w:val="00CA3162"/>
    <w:rsid w:val="00CB0FD0"/>
    <w:rsid w:val="00CB3BC1"/>
    <w:rsid w:val="00CB3E6C"/>
    <w:rsid w:val="00CB4F42"/>
    <w:rsid w:val="00CD2BB3"/>
    <w:rsid w:val="00CE295B"/>
    <w:rsid w:val="00CE3405"/>
    <w:rsid w:val="00CE7AA9"/>
    <w:rsid w:val="00CF0533"/>
    <w:rsid w:val="00CF0B13"/>
    <w:rsid w:val="00CF569C"/>
    <w:rsid w:val="00CF5994"/>
    <w:rsid w:val="00CF7434"/>
    <w:rsid w:val="00D0281A"/>
    <w:rsid w:val="00D10E65"/>
    <w:rsid w:val="00D13DA3"/>
    <w:rsid w:val="00D166A2"/>
    <w:rsid w:val="00D2070E"/>
    <w:rsid w:val="00D22050"/>
    <w:rsid w:val="00D252CD"/>
    <w:rsid w:val="00D27F9E"/>
    <w:rsid w:val="00D318DB"/>
    <w:rsid w:val="00D41D9B"/>
    <w:rsid w:val="00D42C95"/>
    <w:rsid w:val="00D42F53"/>
    <w:rsid w:val="00D529CC"/>
    <w:rsid w:val="00D60146"/>
    <w:rsid w:val="00D62044"/>
    <w:rsid w:val="00D66EAA"/>
    <w:rsid w:val="00D67DD2"/>
    <w:rsid w:val="00D717CE"/>
    <w:rsid w:val="00D74F38"/>
    <w:rsid w:val="00D75743"/>
    <w:rsid w:val="00D76C91"/>
    <w:rsid w:val="00D82B19"/>
    <w:rsid w:val="00D871E3"/>
    <w:rsid w:val="00D94392"/>
    <w:rsid w:val="00D95CC2"/>
    <w:rsid w:val="00DA41A6"/>
    <w:rsid w:val="00DB24E0"/>
    <w:rsid w:val="00DB583E"/>
    <w:rsid w:val="00DC131B"/>
    <w:rsid w:val="00DC1974"/>
    <w:rsid w:val="00DC74B5"/>
    <w:rsid w:val="00DD025D"/>
    <w:rsid w:val="00DD2BE6"/>
    <w:rsid w:val="00DD4988"/>
    <w:rsid w:val="00DD7968"/>
    <w:rsid w:val="00DE33B0"/>
    <w:rsid w:val="00DE581D"/>
    <w:rsid w:val="00DE6C5C"/>
    <w:rsid w:val="00DE7615"/>
    <w:rsid w:val="00DF4F79"/>
    <w:rsid w:val="00DF526B"/>
    <w:rsid w:val="00DF66C3"/>
    <w:rsid w:val="00DF74ED"/>
    <w:rsid w:val="00E00D20"/>
    <w:rsid w:val="00E02560"/>
    <w:rsid w:val="00E078FE"/>
    <w:rsid w:val="00E10137"/>
    <w:rsid w:val="00E15971"/>
    <w:rsid w:val="00E23302"/>
    <w:rsid w:val="00E25A27"/>
    <w:rsid w:val="00E25E38"/>
    <w:rsid w:val="00E26CD1"/>
    <w:rsid w:val="00E30626"/>
    <w:rsid w:val="00E357CE"/>
    <w:rsid w:val="00E46A9D"/>
    <w:rsid w:val="00E546B4"/>
    <w:rsid w:val="00E80D0C"/>
    <w:rsid w:val="00E901E6"/>
    <w:rsid w:val="00E922C8"/>
    <w:rsid w:val="00E97375"/>
    <w:rsid w:val="00EA664E"/>
    <w:rsid w:val="00EB1758"/>
    <w:rsid w:val="00EB3B0B"/>
    <w:rsid w:val="00ED1EF8"/>
    <w:rsid w:val="00ED35A6"/>
    <w:rsid w:val="00ED697B"/>
    <w:rsid w:val="00EE0F0B"/>
    <w:rsid w:val="00EF33F0"/>
    <w:rsid w:val="00EF389B"/>
    <w:rsid w:val="00EF4E9E"/>
    <w:rsid w:val="00EF6D3D"/>
    <w:rsid w:val="00EF782D"/>
    <w:rsid w:val="00F12EAE"/>
    <w:rsid w:val="00F177FD"/>
    <w:rsid w:val="00F17C0E"/>
    <w:rsid w:val="00F2037D"/>
    <w:rsid w:val="00F210D3"/>
    <w:rsid w:val="00F21BFA"/>
    <w:rsid w:val="00F21F84"/>
    <w:rsid w:val="00F304B7"/>
    <w:rsid w:val="00F323D1"/>
    <w:rsid w:val="00F338A8"/>
    <w:rsid w:val="00F34992"/>
    <w:rsid w:val="00F416AF"/>
    <w:rsid w:val="00F42D30"/>
    <w:rsid w:val="00F61931"/>
    <w:rsid w:val="00F70D81"/>
    <w:rsid w:val="00F74DC0"/>
    <w:rsid w:val="00F77EF6"/>
    <w:rsid w:val="00FA343B"/>
    <w:rsid w:val="00FA427D"/>
    <w:rsid w:val="00FA6ABC"/>
    <w:rsid w:val="00FB30C1"/>
    <w:rsid w:val="00FB5BBE"/>
    <w:rsid w:val="00FC3D6C"/>
    <w:rsid w:val="00FE34DF"/>
    <w:rsid w:val="00FE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7C4DD"/>
  <w15:docId w15:val="{0BC211B1-8080-43C8-B894-87B24AF1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DA2"/>
    <w:rPr>
      <w:rFonts w:ascii="Univers" w:hAnsi="Univers"/>
      <w:sz w:val="24"/>
    </w:rPr>
  </w:style>
  <w:style w:type="paragraph" w:styleId="Heading1">
    <w:name w:val="heading 1"/>
    <w:basedOn w:val="Normal"/>
    <w:next w:val="Normal"/>
    <w:qFormat/>
    <w:rsid w:val="00E078F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078F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078FE"/>
    <w:pPr>
      <w:keepNext/>
      <w:spacing w:before="240" w:after="60"/>
      <w:outlineLvl w:val="2"/>
    </w:pPr>
    <w:rPr>
      <w:rFonts w:ascii="Arial" w:hAnsi="Arial" w:cs="Arial"/>
      <w:b/>
      <w:bCs/>
      <w:sz w:val="26"/>
      <w:szCs w:val="26"/>
    </w:rPr>
  </w:style>
  <w:style w:type="paragraph" w:styleId="Heading4">
    <w:name w:val="heading 4"/>
    <w:basedOn w:val="Normal"/>
    <w:next w:val="Normal"/>
    <w:qFormat/>
    <w:rsid w:val="00E078FE"/>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078FE"/>
    <w:pPr>
      <w:spacing w:before="240" w:after="60"/>
      <w:outlineLvl w:val="4"/>
    </w:pPr>
    <w:rPr>
      <w:b/>
      <w:bCs/>
      <w:i/>
      <w:iCs/>
      <w:sz w:val="26"/>
      <w:szCs w:val="26"/>
    </w:rPr>
  </w:style>
  <w:style w:type="paragraph" w:styleId="Heading6">
    <w:name w:val="heading 6"/>
    <w:basedOn w:val="Normal"/>
    <w:next w:val="Normal"/>
    <w:qFormat/>
    <w:rsid w:val="00E078FE"/>
    <w:pPr>
      <w:spacing w:before="240" w:after="60"/>
      <w:outlineLvl w:val="5"/>
    </w:pPr>
    <w:rPr>
      <w:rFonts w:ascii="Times New Roman" w:hAnsi="Times New Roman"/>
      <w:b/>
      <w:bCs/>
      <w:sz w:val="22"/>
      <w:szCs w:val="22"/>
    </w:rPr>
  </w:style>
  <w:style w:type="paragraph" w:styleId="Heading7">
    <w:name w:val="heading 7"/>
    <w:basedOn w:val="Normal"/>
    <w:next w:val="Normal"/>
    <w:qFormat/>
    <w:rsid w:val="00E078FE"/>
    <w:pPr>
      <w:spacing w:before="240" w:after="60"/>
      <w:outlineLvl w:val="6"/>
    </w:pPr>
    <w:rPr>
      <w:rFonts w:ascii="Times New Roman" w:hAnsi="Times New Roman"/>
      <w:szCs w:val="24"/>
    </w:rPr>
  </w:style>
  <w:style w:type="paragraph" w:styleId="Heading8">
    <w:name w:val="heading 8"/>
    <w:basedOn w:val="Normal"/>
    <w:next w:val="Normal"/>
    <w:qFormat/>
    <w:rsid w:val="00E078FE"/>
    <w:pPr>
      <w:spacing w:before="240" w:after="60"/>
      <w:outlineLvl w:val="7"/>
    </w:pPr>
    <w:rPr>
      <w:rFonts w:ascii="Times New Roman" w:hAnsi="Times New Roman"/>
      <w:i/>
      <w:iCs/>
      <w:szCs w:val="24"/>
    </w:rPr>
  </w:style>
  <w:style w:type="paragraph" w:styleId="Heading9">
    <w:name w:val="heading 9"/>
    <w:basedOn w:val="Normal"/>
    <w:next w:val="Normal"/>
    <w:qFormat/>
    <w:rsid w:val="00E078F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7FB6"/>
    <w:pPr>
      <w:tabs>
        <w:tab w:val="center" w:pos="4320"/>
        <w:tab w:val="right" w:pos="8640"/>
      </w:tabs>
    </w:pPr>
  </w:style>
  <w:style w:type="paragraph" w:styleId="Footer">
    <w:name w:val="footer"/>
    <w:basedOn w:val="Normal"/>
    <w:rsid w:val="00497FB6"/>
    <w:pPr>
      <w:tabs>
        <w:tab w:val="center" w:pos="4320"/>
        <w:tab w:val="right" w:pos="8640"/>
      </w:tabs>
    </w:pPr>
  </w:style>
  <w:style w:type="character" w:styleId="Hyperlink">
    <w:name w:val="Hyperlink"/>
    <w:rsid w:val="00DF526B"/>
    <w:rPr>
      <w:color w:val="0000FF"/>
      <w:u w:val="single"/>
    </w:rPr>
  </w:style>
  <w:style w:type="table" w:styleId="TableGrid">
    <w:name w:val="Table Grid"/>
    <w:basedOn w:val="TableNormal"/>
    <w:rsid w:val="00DF5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078FE"/>
    <w:rPr>
      <w:rFonts w:ascii="Tahoma" w:hAnsi="Tahoma" w:cs="Tahoma"/>
      <w:sz w:val="16"/>
      <w:szCs w:val="16"/>
    </w:rPr>
  </w:style>
  <w:style w:type="paragraph" w:styleId="BlockText">
    <w:name w:val="Block Text"/>
    <w:basedOn w:val="Normal"/>
    <w:rsid w:val="00E078FE"/>
    <w:pPr>
      <w:spacing w:after="120"/>
      <w:ind w:left="1440" w:right="1440"/>
    </w:pPr>
  </w:style>
  <w:style w:type="paragraph" w:styleId="BodyText">
    <w:name w:val="Body Text"/>
    <w:basedOn w:val="Normal"/>
    <w:rsid w:val="00E078FE"/>
    <w:pPr>
      <w:spacing w:after="120"/>
    </w:pPr>
  </w:style>
  <w:style w:type="paragraph" w:styleId="BodyText2">
    <w:name w:val="Body Text 2"/>
    <w:basedOn w:val="Normal"/>
    <w:rsid w:val="00E078FE"/>
    <w:pPr>
      <w:spacing w:after="120" w:line="480" w:lineRule="auto"/>
    </w:pPr>
  </w:style>
  <w:style w:type="paragraph" w:styleId="BodyText3">
    <w:name w:val="Body Text 3"/>
    <w:basedOn w:val="Normal"/>
    <w:rsid w:val="00E078FE"/>
    <w:pPr>
      <w:spacing w:after="120"/>
    </w:pPr>
    <w:rPr>
      <w:sz w:val="16"/>
      <w:szCs w:val="16"/>
    </w:rPr>
  </w:style>
  <w:style w:type="paragraph" w:styleId="BodyTextFirstIndent">
    <w:name w:val="Body Text First Indent"/>
    <w:basedOn w:val="BodyText"/>
    <w:rsid w:val="00E078FE"/>
    <w:pPr>
      <w:ind w:firstLine="210"/>
    </w:pPr>
  </w:style>
  <w:style w:type="paragraph" w:styleId="BodyTextIndent">
    <w:name w:val="Body Text Indent"/>
    <w:basedOn w:val="Normal"/>
    <w:rsid w:val="00E078FE"/>
    <w:pPr>
      <w:spacing w:after="120"/>
      <w:ind w:left="360"/>
    </w:pPr>
  </w:style>
  <w:style w:type="paragraph" w:styleId="BodyTextFirstIndent2">
    <w:name w:val="Body Text First Indent 2"/>
    <w:basedOn w:val="BodyTextIndent"/>
    <w:rsid w:val="00E078FE"/>
    <w:pPr>
      <w:ind w:firstLine="210"/>
    </w:pPr>
  </w:style>
  <w:style w:type="paragraph" w:styleId="BodyTextIndent2">
    <w:name w:val="Body Text Indent 2"/>
    <w:basedOn w:val="Normal"/>
    <w:rsid w:val="00E078FE"/>
    <w:pPr>
      <w:spacing w:after="120" w:line="480" w:lineRule="auto"/>
      <w:ind w:left="360"/>
    </w:pPr>
  </w:style>
  <w:style w:type="paragraph" w:styleId="BodyTextIndent3">
    <w:name w:val="Body Text Indent 3"/>
    <w:basedOn w:val="Normal"/>
    <w:rsid w:val="00E078FE"/>
    <w:pPr>
      <w:spacing w:after="120"/>
      <w:ind w:left="360"/>
    </w:pPr>
    <w:rPr>
      <w:sz w:val="16"/>
      <w:szCs w:val="16"/>
    </w:rPr>
  </w:style>
  <w:style w:type="paragraph" w:styleId="Caption">
    <w:name w:val="caption"/>
    <w:basedOn w:val="Normal"/>
    <w:next w:val="Normal"/>
    <w:qFormat/>
    <w:rsid w:val="00E078FE"/>
    <w:pPr>
      <w:spacing w:before="120" w:after="120"/>
    </w:pPr>
    <w:rPr>
      <w:b/>
      <w:bCs/>
      <w:sz w:val="20"/>
    </w:rPr>
  </w:style>
  <w:style w:type="paragraph" w:styleId="Closing">
    <w:name w:val="Closing"/>
    <w:basedOn w:val="Normal"/>
    <w:rsid w:val="00E078FE"/>
    <w:pPr>
      <w:ind w:left="4320"/>
    </w:pPr>
  </w:style>
  <w:style w:type="paragraph" w:styleId="CommentText">
    <w:name w:val="annotation text"/>
    <w:basedOn w:val="Normal"/>
    <w:semiHidden/>
    <w:rsid w:val="00E078FE"/>
    <w:rPr>
      <w:sz w:val="20"/>
    </w:rPr>
  </w:style>
  <w:style w:type="paragraph" w:styleId="CommentSubject">
    <w:name w:val="annotation subject"/>
    <w:basedOn w:val="CommentText"/>
    <w:next w:val="CommentText"/>
    <w:semiHidden/>
    <w:rsid w:val="00E078FE"/>
    <w:rPr>
      <w:b/>
      <w:bCs/>
    </w:rPr>
  </w:style>
  <w:style w:type="paragraph" w:styleId="Date">
    <w:name w:val="Date"/>
    <w:basedOn w:val="Normal"/>
    <w:next w:val="Normal"/>
    <w:rsid w:val="00E078FE"/>
  </w:style>
  <w:style w:type="paragraph" w:styleId="DocumentMap">
    <w:name w:val="Document Map"/>
    <w:basedOn w:val="Normal"/>
    <w:semiHidden/>
    <w:rsid w:val="00E078FE"/>
    <w:pPr>
      <w:shd w:val="clear" w:color="auto" w:fill="000080"/>
    </w:pPr>
    <w:rPr>
      <w:rFonts w:ascii="Tahoma" w:hAnsi="Tahoma" w:cs="Tahoma"/>
    </w:rPr>
  </w:style>
  <w:style w:type="paragraph" w:styleId="E-mailSignature">
    <w:name w:val="E-mail Signature"/>
    <w:basedOn w:val="Normal"/>
    <w:rsid w:val="00E078FE"/>
  </w:style>
  <w:style w:type="paragraph" w:styleId="EndnoteText">
    <w:name w:val="endnote text"/>
    <w:basedOn w:val="Normal"/>
    <w:semiHidden/>
    <w:rsid w:val="00E078FE"/>
    <w:rPr>
      <w:sz w:val="20"/>
    </w:rPr>
  </w:style>
  <w:style w:type="paragraph" w:styleId="EnvelopeAddress">
    <w:name w:val="envelope address"/>
    <w:basedOn w:val="Normal"/>
    <w:rsid w:val="00E078FE"/>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E078FE"/>
    <w:rPr>
      <w:rFonts w:ascii="Arial" w:hAnsi="Arial" w:cs="Arial"/>
      <w:sz w:val="20"/>
    </w:rPr>
  </w:style>
  <w:style w:type="paragraph" w:styleId="FootnoteText">
    <w:name w:val="footnote text"/>
    <w:basedOn w:val="Normal"/>
    <w:semiHidden/>
    <w:rsid w:val="00E078FE"/>
    <w:rPr>
      <w:sz w:val="20"/>
    </w:rPr>
  </w:style>
  <w:style w:type="paragraph" w:styleId="HTMLAddress">
    <w:name w:val="HTML Address"/>
    <w:basedOn w:val="Normal"/>
    <w:rsid w:val="00E078FE"/>
    <w:rPr>
      <w:i/>
      <w:iCs/>
    </w:rPr>
  </w:style>
  <w:style w:type="paragraph" w:styleId="HTMLPreformatted">
    <w:name w:val="HTML Preformatted"/>
    <w:basedOn w:val="Normal"/>
    <w:rsid w:val="00E078FE"/>
    <w:rPr>
      <w:rFonts w:ascii="Courier New" w:hAnsi="Courier New" w:cs="Courier New"/>
      <w:sz w:val="20"/>
    </w:rPr>
  </w:style>
  <w:style w:type="paragraph" w:styleId="Index1">
    <w:name w:val="index 1"/>
    <w:basedOn w:val="Normal"/>
    <w:next w:val="Normal"/>
    <w:autoRedefine/>
    <w:semiHidden/>
    <w:rsid w:val="00E078FE"/>
    <w:pPr>
      <w:ind w:left="240" w:hanging="240"/>
    </w:pPr>
  </w:style>
  <w:style w:type="paragraph" w:styleId="Index2">
    <w:name w:val="index 2"/>
    <w:basedOn w:val="Normal"/>
    <w:next w:val="Normal"/>
    <w:autoRedefine/>
    <w:semiHidden/>
    <w:rsid w:val="00E078FE"/>
    <w:pPr>
      <w:ind w:left="480" w:hanging="240"/>
    </w:pPr>
  </w:style>
  <w:style w:type="paragraph" w:styleId="Index3">
    <w:name w:val="index 3"/>
    <w:basedOn w:val="Normal"/>
    <w:next w:val="Normal"/>
    <w:autoRedefine/>
    <w:semiHidden/>
    <w:rsid w:val="00E078FE"/>
    <w:pPr>
      <w:ind w:left="720" w:hanging="240"/>
    </w:pPr>
  </w:style>
  <w:style w:type="paragraph" w:styleId="Index4">
    <w:name w:val="index 4"/>
    <w:basedOn w:val="Normal"/>
    <w:next w:val="Normal"/>
    <w:autoRedefine/>
    <w:semiHidden/>
    <w:rsid w:val="00E078FE"/>
    <w:pPr>
      <w:ind w:left="960" w:hanging="240"/>
    </w:pPr>
  </w:style>
  <w:style w:type="paragraph" w:styleId="Index5">
    <w:name w:val="index 5"/>
    <w:basedOn w:val="Normal"/>
    <w:next w:val="Normal"/>
    <w:autoRedefine/>
    <w:semiHidden/>
    <w:rsid w:val="00E078FE"/>
    <w:pPr>
      <w:ind w:left="1200" w:hanging="240"/>
    </w:pPr>
  </w:style>
  <w:style w:type="paragraph" w:styleId="Index6">
    <w:name w:val="index 6"/>
    <w:basedOn w:val="Normal"/>
    <w:next w:val="Normal"/>
    <w:autoRedefine/>
    <w:semiHidden/>
    <w:rsid w:val="00E078FE"/>
    <w:pPr>
      <w:ind w:left="1440" w:hanging="240"/>
    </w:pPr>
  </w:style>
  <w:style w:type="paragraph" w:styleId="Index7">
    <w:name w:val="index 7"/>
    <w:basedOn w:val="Normal"/>
    <w:next w:val="Normal"/>
    <w:autoRedefine/>
    <w:semiHidden/>
    <w:rsid w:val="00E078FE"/>
    <w:pPr>
      <w:ind w:left="1680" w:hanging="240"/>
    </w:pPr>
  </w:style>
  <w:style w:type="paragraph" w:styleId="Index8">
    <w:name w:val="index 8"/>
    <w:basedOn w:val="Normal"/>
    <w:next w:val="Normal"/>
    <w:autoRedefine/>
    <w:semiHidden/>
    <w:rsid w:val="00E078FE"/>
    <w:pPr>
      <w:ind w:left="1920" w:hanging="240"/>
    </w:pPr>
  </w:style>
  <w:style w:type="paragraph" w:styleId="Index9">
    <w:name w:val="index 9"/>
    <w:basedOn w:val="Normal"/>
    <w:next w:val="Normal"/>
    <w:autoRedefine/>
    <w:semiHidden/>
    <w:rsid w:val="00E078FE"/>
    <w:pPr>
      <w:ind w:left="2160" w:hanging="240"/>
    </w:pPr>
  </w:style>
  <w:style w:type="paragraph" w:styleId="IndexHeading">
    <w:name w:val="index heading"/>
    <w:basedOn w:val="Normal"/>
    <w:next w:val="Index1"/>
    <w:semiHidden/>
    <w:rsid w:val="00E078FE"/>
    <w:rPr>
      <w:rFonts w:ascii="Arial" w:hAnsi="Arial" w:cs="Arial"/>
      <w:b/>
      <w:bCs/>
    </w:rPr>
  </w:style>
  <w:style w:type="paragraph" w:styleId="List">
    <w:name w:val="List"/>
    <w:basedOn w:val="Normal"/>
    <w:rsid w:val="00E078FE"/>
    <w:pPr>
      <w:ind w:left="360" w:hanging="360"/>
    </w:pPr>
  </w:style>
  <w:style w:type="paragraph" w:styleId="List2">
    <w:name w:val="List 2"/>
    <w:basedOn w:val="Normal"/>
    <w:rsid w:val="00E078FE"/>
    <w:pPr>
      <w:ind w:left="720" w:hanging="360"/>
    </w:pPr>
  </w:style>
  <w:style w:type="paragraph" w:styleId="List3">
    <w:name w:val="List 3"/>
    <w:basedOn w:val="Normal"/>
    <w:rsid w:val="00E078FE"/>
    <w:pPr>
      <w:ind w:left="1080" w:hanging="360"/>
    </w:pPr>
  </w:style>
  <w:style w:type="paragraph" w:styleId="List4">
    <w:name w:val="List 4"/>
    <w:basedOn w:val="Normal"/>
    <w:rsid w:val="00E078FE"/>
    <w:pPr>
      <w:ind w:left="1440" w:hanging="360"/>
    </w:pPr>
  </w:style>
  <w:style w:type="paragraph" w:styleId="List5">
    <w:name w:val="List 5"/>
    <w:basedOn w:val="Normal"/>
    <w:rsid w:val="00E078FE"/>
    <w:pPr>
      <w:ind w:left="1800" w:hanging="360"/>
    </w:pPr>
  </w:style>
  <w:style w:type="paragraph" w:styleId="ListBullet">
    <w:name w:val="List Bullet"/>
    <w:basedOn w:val="Normal"/>
    <w:autoRedefine/>
    <w:rsid w:val="00E078FE"/>
    <w:pPr>
      <w:numPr>
        <w:numId w:val="1"/>
      </w:numPr>
    </w:pPr>
  </w:style>
  <w:style w:type="paragraph" w:styleId="ListBullet2">
    <w:name w:val="List Bullet 2"/>
    <w:basedOn w:val="Normal"/>
    <w:autoRedefine/>
    <w:rsid w:val="00E078FE"/>
    <w:pPr>
      <w:numPr>
        <w:numId w:val="2"/>
      </w:numPr>
    </w:pPr>
  </w:style>
  <w:style w:type="paragraph" w:styleId="ListBullet3">
    <w:name w:val="List Bullet 3"/>
    <w:basedOn w:val="Normal"/>
    <w:autoRedefine/>
    <w:rsid w:val="00E078FE"/>
    <w:pPr>
      <w:numPr>
        <w:numId w:val="3"/>
      </w:numPr>
    </w:pPr>
  </w:style>
  <w:style w:type="paragraph" w:styleId="ListBullet4">
    <w:name w:val="List Bullet 4"/>
    <w:basedOn w:val="Normal"/>
    <w:autoRedefine/>
    <w:rsid w:val="00E078FE"/>
    <w:pPr>
      <w:numPr>
        <w:numId w:val="4"/>
      </w:numPr>
    </w:pPr>
  </w:style>
  <w:style w:type="paragraph" w:styleId="ListBullet5">
    <w:name w:val="List Bullet 5"/>
    <w:basedOn w:val="Normal"/>
    <w:autoRedefine/>
    <w:rsid w:val="00E078FE"/>
    <w:pPr>
      <w:numPr>
        <w:numId w:val="5"/>
      </w:numPr>
    </w:pPr>
  </w:style>
  <w:style w:type="paragraph" w:styleId="ListContinue">
    <w:name w:val="List Continue"/>
    <w:basedOn w:val="Normal"/>
    <w:rsid w:val="00E078FE"/>
    <w:pPr>
      <w:spacing w:after="120"/>
      <w:ind w:left="360"/>
    </w:pPr>
  </w:style>
  <w:style w:type="paragraph" w:styleId="ListContinue2">
    <w:name w:val="List Continue 2"/>
    <w:basedOn w:val="Normal"/>
    <w:rsid w:val="00E078FE"/>
    <w:pPr>
      <w:spacing w:after="120"/>
      <w:ind w:left="720"/>
    </w:pPr>
  </w:style>
  <w:style w:type="paragraph" w:styleId="ListContinue3">
    <w:name w:val="List Continue 3"/>
    <w:basedOn w:val="Normal"/>
    <w:rsid w:val="00E078FE"/>
    <w:pPr>
      <w:spacing w:after="120"/>
      <w:ind w:left="1080"/>
    </w:pPr>
  </w:style>
  <w:style w:type="paragraph" w:styleId="ListContinue4">
    <w:name w:val="List Continue 4"/>
    <w:basedOn w:val="Normal"/>
    <w:rsid w:val="00E078FE"/>
    <w:pPr>
      <w:spacing w:after="120"/>
      <w:ind w:left="1440"/>
    </w:pPr>
  </w:style>
  <w:style w:type="paragraph" w:styleId="ListContinue5">
    <w:name w:val="List Continue 5"/>
    <w:basedOn w:val="Normal"/>
    <w:rsid w:val="00E078FE"/>
    <w:pPr>
      <w:spacing w:after="120"/>
      <w:ind w:left="1800"/>
    </w:pPr>
  </w:style>
  <w:style w:type="paragraph" w:styleId="ListNumber">
    <w:name w:val="List Number"/>
    <w:basedOn w:val="Normal"/>
    <w:rsid w:val="00E078FE"/>
    <w:pPr>
      <w:numPr>
        <w:numId w:val="6"/>
      </w:numPr>
    </w:pPr>
  </w:style>
  <w:style w:type="paragraph" w:styleId="ListNumber2">
    <w:name w:val="List Number 2"/>
    <w:basedOn w:val="Normal"/>
    <w:rsid w:val="00E078FE"/>
    <w:pPr>
      <w:numPr>
        <w:numId w:val="7"/>
      </w:numPr>
    </w:pPr>
  </w:style>
  <w:style w:type="paragraph" w:styleId="ListNumber3">
    <w:name w:val="List Number 3"/>
    <w:basedOn w:val="Normal"/>
    <w:rsid w:val="00E078FE"/>
    <w:pPr>
      <w:numPr>
        <w:numId w:val="8"/>
      </w:numPr>
    </w:pPr>
  </w:style>
  <w:style w:type="paragraph" w:styleId="ListNumber4">
    <w:name w:val="List Number 4"/>
    <w:basedOn w:val="Normal"/>
    <w:rsid w:val="00E078FE"/>
    <w:pPr>
      <w:numPr>
        <w:numId w:val="9"/>
      </w:numPr>
    </w:pPr>
  </w:style>
  <w:style w:type="paragraph" w:styleId="ListNumber5">
    <w:name w:val="List Number 5"/>
    <w:basedOn w:val="Normal"/>
    <w:rsid w:val="00E078FE"/>
    <w:pPr>
      <w:numPr>
        <w:numId w:val="10"/>
      </w:numPr>
    </w:pPr>
  </w:style>
  <w:style w:type="paragraph" w:styleId="MacroText">
    <w:name w:val="macro"/>
    <w:semiHidden/>
    <w:rsid w:val="00E078F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E078F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sid w:val="00E078FE"/>
    <w:rPr>
      <w:rFonts w:ascii="Times New Roman" w:hAnsi="Times New Roman"/>
      <w:szCs w:val="24"/>
    </w:rPr>
  </w:style>
  <w:style w:type="paragraph" w:styleId="NormalIndent">
    <w:name w:val="Normal Indent"/>
    <w:basedOn w:val="Normal"/>
    <w:rsid w:val="00E078FE"/>
    <w:pPr>
      <w:ind w:left="720"/>
    </w:pPr>
  </w:style>
  <w:style w:type="paragraph" w:styleId="NoteHeading">
    <w:name w:val="Note Heading"/>
    <w:basedOn w:val="Normal"/>
    <w:next w:val="Normal"/>
    <w:rsid w:val="00E078FE"/>
  </w:style>
  <w:style w:type="paragraph" w:styleId="PlainText">
    <w:name w:val="Plain Text"/>
    <w:basedOn w:val="Normal"/>
    <w:rsid w:val="00E078FE"/>
    <w:rPr>
      <w:rFonts w:ascii="Courier New" w:hAnsi="Courier New" w:cs="Courier New"/>
      <w:sz w:val="20"/>
    </w:rPr>
  </w:style>
  <w:style w:type="paragraph" w:styleId="Salutation">
    <w:name w:val="Salutation"/>
    <w:basedOn w:val="Normal"/>
    <w:next w:val="Normal"/>
    <w:rsid w:val="00E078FE"/>
  </w:style>
  <w:style w:type="paragraph" w:styleId="Signature">
    <w:name w:val="Signature"/>
    <w:basedOn w:val="Normal"/>
    <w:rsid w:val="00E078FE"/>
    <w:pPr>
      <w:ind w:left="4320"/>
    </w:pPr>
  </w:style>
  <w:style w:type="paragraph" w:styleId="Subtitle">
    <w:name w:val="Subtitle"/>
    <w:basedOn w:val="Normal"/>
    <w:qFormat/>
    <w:rsid w:val="00E078FE"/>
    <w:pPr>
      <w:spacing w:after="60"/>
      <w:jc w:val="center"/>
      <w:outlineLvl w:val="1"/>
    </w:pPr>
    <w:rPr>
      <w:rFonts w:ascii="Arial" w:hAnsi="Arial" w:cs="Arial"/>
      <w:szCs w:val="24"/>
    </w:rPr>
  </w:style>
  <w:style w:type="table" w:styleId="Table3Deffects1">
    <w:name w:val="Table 3D effects 1"/>
    <w:basedOn w:val="TableNormal"/>
    <w:rsid w:val="00E078F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78F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78F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78F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78F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78F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78F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78F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78F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78F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78F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78F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78F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78F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78F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78F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78F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078F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78F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78F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78F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78F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78F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78F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78F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78F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78F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78F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78F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78F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78F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78F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78F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078FE"/>
    <w:pPr>
      <w:ind w:left="240" w:hanging="240"/>
    </w:pPr>
  </w:style>
  <w:style w:type="paragraph" w:styleId="TableofFigures">
    <w:name w:val="table of figures"/>
    <w:basedOn w:val="Normal"/>
    <w:next w:val="Normal"/>
    <w:semiHidden/>
    <w:rsid w:val="00E078FE"/>
    <w:pPr>
      <w:ind w:left="480" w:hanging="480"/>
    </w:pPr>
  </w:style>
  <w:style w:type="table" w:styleId="TableProfessional">
    <w:name w:val="Table Professional"/>
    <w:basedOn w:val="TableNormal"/>
    <w:rsid w:val="00E078F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78F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78F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78F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78F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78F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7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78F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78F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78F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E078FE"/>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078FE"/>
    <w:pPr>
      <w:spacing w:before="120"/>
    </w:pPr>
    <w:rPr>
      <w:rFonts w:ascii="Arial" w:hAnsi="Arial" w:cs="Arial"/>
      <w:b/>
      <w:bCs/>
      <w:szCs w:val="24"/>
    </w:rPr>
  </w:style>
  <w:style w:type="paragraph" w:styleId="TOC1">
    <w:name w:val="toc 1"/>
    <w:basedOn w:val="Normal"/>
    <w:next w:val="Normal"/>
    <w:autoRedefine/>
    <w:semiHidden/>
    <w:rsid w:val="00E078FE"/>
  </w:style>
  <w:style w:type="paragraph" w:styleId="TOC2">
    <w:name w:val="toc 2"/>
    <w:basedOn w:val="Normal"/>
    <w:next w:val="Normal"/>
    <w:autoRedefine/>
    <w:semiHidden/>
    <w:rsid w:val="00E078FE"/>
    <w:pPr>
      <w:ind w:left="240"/>
    </w:pPr>
  </w:style>
  <w:style w:type="paragraph" w:styleId="TOC3">
    <w:name w:val="toc 3"/>
    <w:basedOn w:val="Normal"/>
    <w:next w:val="Normal"/>
    <w:autoRedefine/>
    <w:semiHidden/>
    <w:rsid w:val="00E078FE"/>
    <w:pPr>
      <w:ind w:left="480"/>
    </w:pPr>
  </w:style>
  <w:style w:type="paragraph" w:styleId="TOC4">
    <w:name w:val="toc 4"/>
    <w:basedOn w:val="Normal"/>
    <w:next w:val="Normal"/>
    <w:autoRedefine/>
    <w:semiHidden/>
    <w:rsid w:val="00E078FE"/>
    <w:pPr>
      <w:ind w:left="720"/>
    </w:pPr>
  </w:style>
  <w:style w:type="paragraph" w:styleId="TOC5">
    <w:name w:val="toc 5"/>
    <w:basedOn w:val="Normal"/>
    <w:next w:val="Normal"/>
    <w:autoRedefine/>
    <w:semiHidden/>
    <w:rsid w:val="00E078FE"/>
    <w:pPr>
      <w:ind w:left="960"/>
    </w:pPr>
  </w:style>
  <w:style w:type="paragraph" w:styleId="TOC6">
    <w:name w:val="toc 6"/>
    <w:basedOn w:val="Normal"/>
    <w:next w:val="Normal"/>
    <w:autoRedefine/>
    <w:semiHidden/>
    <w:rsid w:val="00E078FE"/>
    <w:pPr>
      <w:ind w:left="1200"/>
    </w:pPr>
  </w:style>
  <w:style w:type="paragraph" w:styleId="TOC7">
    <w:name w:val="toc 7"/>
    <w:basedOn w:val="Normal"/>
    <w:next w:val="Normal"/>
    <w:autoRedefine/>
    <w:semiHidden/>
    <w:rsid w:val="00E078FE"/>
    <w:pPr>
      <w:ind w:left="1440"/>
    </w:pPr>
  </w:style>
  <w:style w:type="paragraph" w:styleId="TOC8">
    <w:name w:val="toc 8"/>
    <w:basedOn w:val="Normal"/>
    <w:next w:val="Normal"/>
    <w:autoRedefine/>
    <w:semiHidden/>
    <w:rsid w:val="00E078FE"/>
    <w:pPr>
      <w:ind w:left="1680"/>
    </w:pPr>
  </w:style>
  <w:style w:type="paragraph" w:styleId="TOC9">
    <w:name w:val="toc 9"/>
    <w:basedOn w:val="Normal"/>
    <w:next w:val="Normal"/>
    <w:autoRedefine/>
    <w:semiHidden/>
    <w:rsid w:val="00E078FE"/>
    <w:pPr>
      <w:ind w:left="1920"/>
    </w:pPr>
  </w:style>
  <w:style w:type="character" w:styleId="FootnoteReference">
    <w:name w:val="footnote reference"/>
    <w:semiHidden/>
    <w:rsid w:val="00653504"/>
    <w:rPr>
      <w:vertAlign w:val="superscript"/>
    </w:rPr>
  </w:style>
  <w:style w:type="character" w:styleId="FollowedHyperlink">
    <w:name w:val="FollowedHyperlink"/>
    <w:rsid w:val="00A74B15"/>
    <w:rPr>
      <w:color w:val="800080"/>
      <w:u w:val="single"/>
    </w:rPr>
  </w:style>
  <w:style w:type="character" w:styleId="PageNumber">
    <w:name w:val="page number"/>
    <w:basedOn w:val="DefaultParagraphFont"/>
    <w:rsid w:val="006E2994"/>
  </w:style>
  <w:style w:type="table" w:customStyle="1" w:styleId="TableGrid10">
    <w:name w:val="Table Grid1"/>
    <w:basedOn w:val="TableNormal"/>
    <w:next w:val="TableGrid"/>
    <w:uiPriority w:val="59"/>
    <w:rsid w:val="00DE761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DE761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79A"/>
    <w:pPr>
      <w:ind w:left="720"/>
      <w:contextualSpacing/>
    </w:pPr>
  </w:style>
  <w:style w:type="character" w:styleId="Strong">
    <w:name w:val="Strong"/>
    <w:basedOn w:val="DefaultParagraphFont"/>
    <w:uiPriority w:val="22"/>
    <w:qFormat/>
    <w:rsid w:val="001D25ED"/>
    <w:rPr>
      <w:b/>
      <w:bCs/>
    </w:rPr>
  </w:style>
  <w:style w:type="paragraph" w:customStyle="1" w:styleId="Default">
    <w:name w:val="Default"/>
    <w:rsid w:val="004235F5"/>
    <w:pPr>
      <w:autoSpaceDE w:val="0"/>
      <w:autoSpaceDN w:val="0"/>
      <w:adjustRightInd w:val="0"/>
    </w:pPr>
    <w:rPr>
      <w:rFonts w:ascii="Franklin Gothic Heavy" w:hAnsi="Franklin Gothic Heavy" w:cs="Franklin Gothic Heavy"/>
      <w:color w:val="000000"/>
      <w:sz w:val="24"/>
      <w:szCs w:val="24"/>
    </w:rPr>
  </w:style>
  <w:style w:type="character" w:customStyle="1" w:styleId="HeaderChar">
    <w:name w:val="Header Char"/>
    <w:basedOn w:val="DefaultParagraphFont"/>
    <w:link w:val="Header"/>
    <w:rsid w:val="00197587"/>
    <w:rPr>
      <w:rFonts w:ascii="Univers" w:hAnsi="Univers"/>
      <w:sz w:val="24"/>
    </w:rPr>
  </w:style>
  <w:style w:type="table" w:styleId="GridTable5Dark">
    <w:name w:val="Grid Table 5 Dark"/>
    <w:basedOn w:val="TableNormal"/>
    <w:uiPriority w:val="50"/>
    <w:rsid w:val="0023310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23310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101201">
      <w:bodyDiv w:val="1"/>
      <w:marLeft w:val="0"/>
      <w:marRight w:val="0"/>
      <w:marTop w:val="0"/>
      <w:marBottom w:val="0"/>
      <w:divBdr>
        <w:top w:val="none" w:sz="0" w:space="0" w:color="auto"/>
        <w:left w:val="none" w:sz="0" w:space="0" w:color="auto"/>
        <w:bottom w:val="none" w:sz="0" w:space="0" w:color="auto"/>
        <w:right w:val="none" w:sz="0" w:space="0" w:color="auto"/>
      </w:divBdr>
    </w:div>
    <w:div w:id="565074290">
      <w:bodyDiv w:val="1"/>
      <w:marLeft w:val="0"/>
      <w:marRight w:val="0"/>
      <w:marTop w:val="0"/>
      <w:marBottom w:val="0"/>
      <w:divBdr>
        <w:top w:val="none" w:sz="0" w:space="0" w:color="auto"/>
        <w:left w:val="none" w:sz="0" w:space="0" w:color="auto"/>
        <w:bottom w:val="none" w:sz="0" w:space="0" w:color="auto"/>
        <w:right w:val="none" w:sz="0" w:space="0" w:color="auto"/>
      </w:divBdr>
    </w:div>
    <w:div w:id="827212017">
      <w:bodyDiv w:val="1"/>
      <w:marLeft w:val="0"/>
      <w:marRight w:val="0"/>
      <w:marTop w:val="0"/>
      <w:marBottom w:val="0"/>
      <w:divBdr>
        <w:top w:val="none" w:sz="0" w:space="0" w:color="auto"/>
        <w:left w:val="none" w:sz="0" w:space="0" w:color="auto"/>
        <w:bottom w:val="none" w:sz="0" w:space="0" w:color="auto"/>
        <w:right w:val="none" w:sz="0" w:space="0" w:color="auto"/>
      </w:divBdr>
    </w:div>
    <w:div w:id="845166401">
      <w:bodyDiv w:val="1"/>
      <w:marLeft w:val="0"/>
      <w:marRight w:val="0"/>
      <w:marTop w:val="0"/>
      <w:marBottom w:val="0"/>
      <w:divBdr>
        <w:top w:val="none" w:sz="0" w:space="0" w:color="auto"/>
        <w:left w:val="none" w:sz="0" w:space="0" w:color="auto"/>
        <w:bottom w:val="none" w:sz="0" w:space="0" w:color="auto"/>
        <w:right w:val="none" w:sz="0" w:space="0" w:color="auto"/>
      </w:divBdr>
    </w:div>
    <w:div w:id="138506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98bae5-a605-4eed-a871-1ef8b53b6521">
      <Terms xmlns="http://schemas.microsoft.com/office/infopath/2007/PartnerControls"/>
    </lcf76f155ced4ddcb4097134ff3c332f>
    <TaxCatchAll xmlns="d612c6d0-d459-443a-b239-e989686eeb22" xsi:nil="true"/>
    <SharedWithUsers xmlns="d612c6d0-d459-443a-b239-e989686eeb22">
      <UserInfo>
        <DisplayName>Kevin Bewsey</DisplayName>
        <AccountId>227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D20838EBF2FB42837130A4AEE42CF2" ma:contentTypeVersion="18" ma:contentTypeDescription="Create a new document." ma:contentTypeScope="" ma:versionID="d07a58651944c4f4fbc540823bc82a3b">
  <xsd:schema xmlns:xsd="http://www.w3.org/2001/XMLSchema" xmlns:xs="http://www.w3.org/2001/XMLSchema" xmlns:p="http://schemas.microsoft.com/office/2006/metadata/properties" xmlns:ns2="8f98bae5-a605-4eed-a871-1ef8b53b6521" xmlns:ns3="d612c6d0-d459-443a-b239-e989686eeb22" targetNamespace="http://schemas.microsoft.com/office/2006/metadata/properties" ma:root="true" ma:fieldsID="49dc10a07215027ef3f6b18887bc2916" ns2:_="" ns3:_="">
    <xsd:import namespace="8f98bae5-a605-4eed-a871-1ef8b53b6521"/>
    <xsd:import namespace="d612c6d0-d459-443a-b239-e989686eeb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8bae5-a605-4eed-a871-1ef8b53b652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4a9f3f-c33f-43ed-8ee9-80d136ec9df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c6d0-d459-443a-b239-e989686eeb2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8e05a909-feee-4072-9d34-15c14fed7c71}" ma:internalName="TaxCatchAll" ma:showField="CatchAllData" ma:web="d612c6d0-d459-443a-b239-e989686eeb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04B498-5E76-40DA-A7CC-DAE00BAF6CEF}">
  <ds:schemaRefs>
    <ds:schemaRef ds:uri="http://schemas.openxmlformats.org/officeDocument/2006/bibliography"/>
  </ds:schemaRefs>
</ds:datastoreItem>
</file>

<file path=customXml/itemProps2.xml><?xml version="1.0" encoding="utf-8"?>
<ds:datastoreItem xmlns:ds="http://schemas.openxmlformats.org/officeDocument/2006/customXml" ds:itemID="{2681073E-89BB-4021-A2FD-42CABDA5F246}">
  <ds:schemaRefs>
    <ds:schemaRef ds:uri="http://schemas.microsoft.com/office/2006/metadata/properties"/>
    <ds:schemaRef ds:uri="http://schemas.microsoft.com/office/infopath/2007/PartnerControls"/>
    <ds:schemaRef ds:uri="8f98bae5-a605-4eed-a871-1ef8b53b6521"/>
    <ds:schemaRef ds:uri="d612c6d0-d459-443a-b239-e989686eeb22"/>
  </ds:schemaRefs>
</ds:datastoreItem>
</file>

<file path=customXml/itemProps3.xml><?xml version="1.0" encoding="utf-8"?>
<ds:datastoreItem xmlns:ds="http://schemas.openxmlformats.org/officeDocument/2006/customXml" ds:itemID="{13DBA538-7067-4AFF-9ED9-D4C564C7F42B}">
  <ds:schemaRefs>
    <ds:schemaRef ds:uri="http://schemas.microsoft.com/sharepoint/v3/contenttype/forms"/>
  </ds:schemaRefs>
</ds:datastoreItem>
</file>

<file path=customXml/itemProps4.xml><?xml version="1.0" encoding="utf-8"?>
<ds:datastoreItem xmlns:ds="http://schemas.openxmlformats.org/officeDocument/2006/customXml" ds:itemID="{4408187A-24A1-401F-AD16-6695747B5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8bae5-a605-4eed-a871-1ef8b53b6521"/>
    <ds:schemaRef ds:uri="d612c6d0-d459-443a-b239-e989686ee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1547</Words>
  <Characters>8808</Characters>
  <Application>Microsoft Office Word</Application>
  <DocSecurity>0</DocSecurity>
  <Lines>251</Lines>
  <Paragraphs>159</Paragraphs>
  <ScaleCrop>false</ScaleCrop>
  <HeadingPairs>
    <vt:vector size="2" baseType="variant">
      <vt:variant>
        <vt:lpstr>Title</vt:lpstr>
      </vt:variant>
      <vt:variant>
        <vt:i4>1</vt:i4>
      </vt:variant>
    </vt:vector>
  </HeadingPairs>
  <TitlesOfParts>
    <vt:vector size="1" baseType="lpstr">
      <vt:lpstr>STA Governing Board Staff Report</vt:lpstr>
    </vt:vector>
  </TitlesOfParts>
  <Company>STA</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 Governing Board Staff Report</dc:title>
  <dc:subject/>
  <dc:creator>Jeffrey Spencer</dc:creator>
  <cp:keywords/>
  <cp:lastModifiedBy>Kevin Bewsey</cp:lastModifiedBy>
  <cp:revision>55</cp:revision>
  <cp:lastPrinted>2016-12-01T01:07:00Z</cp:lastPrinted>
  <dcterms:created xsi:type="dcterms:W3CDTF">2026-03-23T16:55:00Z</dcterms:created>
  <dcterms:modified xsi:type="dcterms:W3CDTF">2026-03-23T18:22:00Z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0x01010042D20838EBF2FB42837130A4AEE42CF2</vt:lpwstr>
  </property>
  <property fmtid="{D5CDD505-2E9C-101B-9397-08002B2CF9AE}" pid="3" name="MediaServiceImageTags">
    <vt:lpwstr/>
  </property>
</Properties>
</file>